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sz w:val="11"/>
        </w:rPr>
      </w:pPr>
    </w:p>
    <w:p>
      <w:pPr>
        <w:spacing w:before="92"/>
        <w:ind w:left="912" w:right="853" w:firstLine="0"/>
        <w:jc w:val="center"/>
        <w:rPr>
          <w:b/>
          <w:sz w:val="18"/>
        </w:rPr>
      </w:pPr>
      <w:r>
        <w:rPr/>
        <w:drawing>
          <wp:anchor distT="0" distB="0" distL="0" distR="0" allowOverlap="1" layoutInCell="1" locked="0" behindDoc="0" simplePos="0" relativeHeight="15729152">
            <wp:simplePos x="0" y="0"/>
            <wp:positionH relativeFrom="page">
              <wp:posOffset>912850</wp:posOffset>
            </wp:positionH>
            <wp:positionV relativeFrom="paragraph">
              <wp:posOffset>-86444</wp:posOffset>
            </wp:positionV>
            <wp:extent cx="591285" cy="580618"/>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91285" cy="580618"/>
                    </a:xfrm>
                    <a:prstGeom prst="rect">
                      <a:avLst/>
                    </a:prstGeom>
                  </pic:spPr>
                </pic:pic>
              </a:graphicData>
            </a:graphic>
          </wp:anchor>
        </w:drawing>
      </w:r>
      <w:r>
        <w:rPr>
          <w:b/>
          <w:spacing w:val="-2"/>
          <w:sz w:val="18"/>
        </w:rPr>
        <w:t>U.S.</w:t>
      </w:r>
      <w:r>
        <w:rPr>
          <w:b/>
          <w:spacing w:val="-8"/>
          <w:sz w:val="18"/>
        </w:rPr>
        <w:t> </w:t>
      </w:r>
      <w:r>
        <w:rPr>
          <w:b/>
          <w:spacing w:val="-2"/>
          <w:sz w:val="18"/>
        </w:rPr>
        <w:t>DEPARTMENT</w:t>
      </w:r>
      <w:r>
        <w:rPr>
          <w:b/>
          <w:spacing w:val="-9"/>
          <w:sz w:val="18"/>
        </w:rPr>
        <w:t> </w:t>
      </w:r>
      <w:r>
        <w:rPr>
          <w:b/>
          <w:spacing w:val="-2"/>
          <w:sz w:val="18"/>
        </w:rPr>
        <w:t>OF</w:t>
      </w:r>
      <w:r>
        <w:rPr>
          <w:b/>
          <w:spacing w:val="-5"/>
          <w:sz w:val="18"/>
        </w:rPr>
        <w:t> </w:t>
      </w:r>
      <w:r>
        <w:rPr>
          <w:b/>
          <w:spacing w:val="-2"/>
          <w:sz w:val="18"/>
        </w:rPr>
        <w:t>HOUSING</w:t>
      </w:r>
      <w:r>
        <w:rPr>
          <w:b/>
          <w:spacing w:val="-10"/>
          <w:sz w:val="18"/>
        </w:rPr>
        <w:t> </w:t>
      </w:r>
      <w:r>
        <w:rPr>
          <w:b/>
          <w:spacing w:val="-2"/>
          <w:sz w:val="18"/>
        </w:rPr>
        <w:t>AND</w:t>
      </w:r>
      <w:r>
        <w:rPr>
          <w:b/>
          <w:spacing w:val="-8"/>
          <w:sz w:val="18"/>
        </w:rPr>
        <w:t> </w:t>
      </w:r>
      <w:r>
        <w:rPr>
          <w:b/>
          <w:spacing w:val="-2"/>
          <w:sz w:val="18"/>
        </w:rPr>
        <w:t>URBAN</w:t>
      </w:r>
      <w:r>
        <w:rPr>
          <w:b/>
          <w:spacing w:val="-9"/>
          <w:sz w:val="18"/>
        </w:rPr>
        <w:t> </w:t>
      </w:r>
      <w:r>
        <w:rPr>
          <w:b/>
          <w:spacing w:val="-2"/>
          <w:sz w:val="18"/>
        </w:rPr>
        <w:t>DEVELOPMENT</w:t>
      </w:r>
    </w:p>
    <w:p>
      <w:pPr>
        <w:spacing w:before="21"/>
        <w:ind w:left="912" w:right="852" w:firstLine="0"/>
        <w:jc w:val="center"/>
        <w:rPr>
          <w:sz w:val="16"/>
        </w:rPr>
      </w:pPr>
      <w:r>
        <w:rPr>
          <w:spacing w:val="-2"/>
          <w:sz w:val="16"/>
        </w:rPr>
        <w:t>WASHINGTON,</w:t>
      </w:r>
      <w:r>
        <w:rPr>
          <w:spacing w:val="-10"/>
          <w:sz w:val="16"/>
        </w:rPr>
        <w:t> </w:t>
      </w:r>
      <w:r>
        <w:rPr>
          <w:spacing w:val="-2"/>
          <w:sz w:val="16"/>
        </w:rPr>
        <w:t>DC</w:t>
      </w:r>
      <w:r>
        <w:rPr>
          <w:spacing w:val="25"/>
          <w:sz w:val="16"/>
        </w:rPr>
        <w:t> </w:t>
      </w:r>
      <w:r>
        <w:rPr>
          <w:spacing w:val="-2"/>
          <w:sz w:val="16"/>
        </w:rPr>
        <w:t>20410-</w:t>
      </w:r>
      <w:r>
        <w:rPr>
          <w:spacing w:val="-4"/>
          <w:sz w:val="16"/>
        </w:rPr>
        <w:t>5000</w:t>
      </w:r>
    </w:p>
    <w:p>
      <w:pPr>
        <w:pStyle w:val="BodyText"/>
        <w:spacing w:before="3"/>
      </w:pPr>
    </w:p>
    <w:p>
      <w:pPr>
        <w:spacing w:before="93"/>
        <w:ind w:left="120" w:right="0" w:firstLine="0"/>
        <w:jc w:val="left"/>
        <w:rPr>
          <w:sz w:val="14"/>
        </w:rPr>
      </w:pPr>
      <w:r>
        <w:rPr>
          <w:spacing w:val="-2"/>
          <w:sz w:val="14"/>
        </w:rPr>
        <w:t>OFFICE</w:t>
      </w:r>
      <w:r>
        <w:rPr>
          <w:spacing w:val="-1"/>
          <w:sz w:val="14"/>
        </w:rPr>
        <w:t> </w:t>
      </w:r>
      <w:r>
        <w:rPr>
          <w:spacing w:val="-2"/>
          <w:sz w:val="14"/>
        </w:rPr>
        <w:t>OF</w:t>
      </w:r>
      <w:r>
        <w:rPr>
          <w:spacing w:val="3"/>
          <w:sz w:val="14"/>
        </w:rPr>
        <w:t> </w:t>
      </w:r>
      <w:r>
        <w:rPr>
          <w:spacing w:val="-2"/>
          <w:sz w:val="14"/>
        </w:rPr>
        <w:t>PUBLIC AND</w:t>
      </w:r>
      <w:r>
        <w:rPr>
          <w:sz w:val="14"/>
        </w:rPr>
        <w:t> </w:t>
      </w:r>
      <w:r>
        <w:rPr>
          <w:spacing w:val="-2"/>
          <w:sz w:val="14"/>
        </w:rPr>
        <w:t>INDIAN</w:t>
      </w:r>
      <w:r>
        <w:rPr>
          <w:spacing w:val="1"/>
          <w:sz w:val="14"/>
        </w:rPr>
        <w:t> </w:t>
      </w:r>
      <w:r>
        <w:rPr>
          <w:spacing w:val="-2"/>
          <w:sz w:val="14"/>
        </w:rPr>
        <w:t>HOUSING</w:t>
      </w:r>
    </w:p>
    <w:p>
      <w:pPr>
        <w:pStyle w:val="BodyText"/>
        <w:spacing w:before="10"/>
        <w:rPr>
          <w:sz w:val="18"/>
        </w:rPr>
      </w:pPr>
    </w:p>
    <w:p>
      <w:pPr>
        <w:pStyle w:val="Heading2"/>
        <w:tabs>
          <w:tab w:pos="5879" w:val="left" w:leader="none"/>
        </w:tabs>
        <w:ind w:left="120" w:firstLine="0"/>
      </w:pPr>
      <w:r>
        <w:rPr/>
        <w:t>Special</w:t>
      </w:r>
      <w:r>
        <w:rPr>
          <w:spacing w:val="-10"/>
        </w:rPr>
        <w:t> </w:t>
      </w:r>
      <w:r>
        <w:rPr/>
        <w:t>Attention</w:t>
      </w:r>
      <w:r>
        <w:rPr>
          <w:spacing w:val="-10"/>
        </w:rPr>
        <w:t> </w:t>
      </w:r>
      <w:r>
        <w:rPr>
          <w:spacing w:val="-5"/>
        </w:rPr>
        <w:t>of:</w:t>
      </w:r>
      <w:r>
        <w:rPr/>
        <w:tab/>
        <w:t>NOTICE:</w:t>
      </w:r>
      <w:r>
        <w:rPr>
          <w:spacing w:val="36"/>
        </w:rPr>
        <w:t> </w:t>
      </w:r>
      <w:r>
        <w:rPr/>
        <w:t>PIH-2023-</w:t>
      </w:r>
      <w:r>
        <w:rPr>
          <w:spacing w:val="-2"/>
        </w:rPr>
        <w:t>03(HA)</w:t>
      </w:r>
    </w:p>
    <w:p>
      <w:pPr>
        <w:pStyle w:val="BodyText"/>
        <w:spacing w:before="6"/>
        <w:rPr>
          <w:b/>
          <w:sz w:val="22"/>
        </w:rPr>
      </w:pPr>
    </w:p>
    <w:p>
      <w:pPr>
        <w:pStyle w:val="BodyText"/>
        <w:tabs>
          <w:tab w:pos="5879" w:val="left" w:leader="none"/>
        </w:tabs>
        <w:spacing w:before="1"/>
        <w:ind w:left="120" w:right="2474"/>
      </w:pPr>
      <w:r>
        <w:rPr/>
        <w:t>Public Housing Agencies</w:t>
        <w:tab/>
        <w:t>Issued:</w:t>
      </w:r>
      <w:r>
        <w:rPr>
          <w:spacing w:val="40"/>
        </w:rPr>
        <w:t> </w:t>
      </w:r>
      <w:r>
        <w:rPr/>
        <w:t>March</w:t>
      </w:r>
      <w:r>
        <w:rPr>
          <w:spacing w:val="-10"/>
        </w:rPr>
        <w:t> </w:t>
      </w:r>
      <w:r>
        <w:rPr/>
        <w:t>13,</w:t>
      </w:r>
      <w:r>
        <w:rPr>
          <w:spacing w:val="-10"/>
        </w:rPr>
        <w:t> </w:t>
      </w:r>
      <w:r>
        <w:rPr/>
        <w:t>2023 Public Housing Hub Office Directors</w:t>
      </w:r>
    </w:p>
    <w:p>
      <w:pPr>
        <w:pStyle w:val="BodyText"/>
        <w:tabs>
          <w:tab w:pos="5879" w:val="left" w:leader="none"/>
          <w:tab w:pos="6815" w:val="left" w:leader="none"/>
        </w:tabs>
        <w:ind w:left="120" w:right="1482"/>
      </w:pPr>
      <w:r>
        <w:rPr/>
        <w:t>Public Housing Program Center Directors</w:t>
        <w:tab/>
        <w:t>Expires:</w:t>
      </w:r>
      <w:r>
        <w:rPr>
          <w:spacing w:val="40"/>
        </w:rPr>
        <w:t> </w:t>
      </w:r>
      <w:r>
        <w:rPr/>
        <w:t>Effective</w:t>
      </w:r>
      <w:r>
        <w:rPr>
          <w:spacing w:val="-4"/>
        </w:rPr>
        <w:t> </w:t>
      </w:r>
      <w:r>
        <w:rPr/>
        <w:t>until</w:t>
      </w:r>
      <w:r>
        <w:rPr>
          <w:spacing w:val="-1"/>
        </w:rPr>
        <w:t> </w:t>
      </w:r>
      <w:r>
        <w:rPr/>
        <w:t>amended, Regional</w:t>
      </w:r>
      <w:r>
        <w:rPr>
          <w:spacing w:val="-2"/>
        </w:rPr>
        <w:t> Directors</w:t>
      </w:r>
      <w:r>
        <w:rPr/>
        <w:tab/>
        <w:tab/>
        <w:t>superseded,</w:t>
      </w:r>
      <w:r>
        <w:rPr>
          <w:spacing w:val="-4"/>
        </w:rPr>
        <w:t> </w:t>
      </w:r>
      <w:r>
        <w:rPr/>
        <w:t>or</w:t>
      </w:r>
      <w:r>
        <w:rPr>
          <w:spacing w:val="-4"/>
        </w:rPr>
        <w:t> </w:t>
      </w:r>
      <w:r>
        <w:rPr>
          <w:spacing w:val="-2"/>
        </w:rPr>
        <w:t>rescinded</w:t>
      </w:r>
    </w:p>
    <w:p>
      <w:pPr>
        <w:pStyle w:val="BodyText"/>
        <w:ind w:left="120"/>
      </w:pPr>
      <w:r>
        <w:rPr/>
        <w:t>Field</w:t>
      </w:r>
      <w:r>
        <w:rPr>
          <w:spacing w:val="-7"/>
        </w:rPr>
        <w:t> </w:t>
      </w:r>
      <w:r>
        <w:rPr/>
        <w:t>Office</w:t>
      </w:r>
      <w:r>
        <w:rPr>
          <w:spacing w:val="-9"/>
        </w:rPr>
        <w:t> </w:t>
      </w:r>
      <w:r>
        <w:rPr/>
        <w:t>Directors</w:t>
      </w:r>
      <w:r>
        <w:rPr>
          <w:spacing w:val="-7"/>
        </w:rPr>
        <w:t> </w:t>
      </w:r>
      <w:r>
        <w:rPr>
          <w:spacing w:val="-5"/>
        </w:rPr>
        <w:t>and</w:t>
      </w:r>
    </w:p>
    <w:p>
      <w:pPr>
        <w:pStyle w:val="BodyText"/>
        <w:tabs>
          <w:tab w:pos="5879" w:val="left" w:leader="none"/>
        </w:tabs>
        <w:ind w:left="5880" w:right="1624" w:hanging="5760"/>
      </w:pPr>
      <w:r>
        <w:rPr/>
        <w:t>Resident Management Corporations</w:t>
        <w:tab/>
        <w:t>Cross</w:t>
      </w:r>
      <w:r>
        <w:rPr>
          <w:spacing w:val="-8"/>
        </w:rPr>
        <w:t> </w:t>
      </w:r>
      <w:r>
        <w:rPr/>
        <w:t>References:</w:t>
      </w:r>
      <w:r>
        <w:rPr>
          <w:spacing w:val="40"/>
        </w:rPr>
        <w:t> </w:t>
      </w:r>
      <w:r>
        <w:rPr/>
        <w:t>81</w:t>
      </w:r>
      <w:r>
        <w:rPr>
          <w:spacing w:val="-8"/>
        </w:rPr>
        <w:t> </w:t>
      </w:r>
      <w:r>
        <w:rPr/>
        <w:t>FR</w:t>
      </w:r>
      <w:r>
        <w:rPr>
          <w:spacing w:val="-6"/>
        </w:rPr>
        <w:t> </w:t>
      </w:r>
      <w:r>
        <w:rPr/>
        <w:t>85996, 83</w:t>
      </w:r>
      <w:r>
        <w:rPr>
          <w:spacing w:val="-6"/>
        </w:rPr>
        <w:t> </w:t>
      </w:r>
      <w:r>
        <w:rPr/>
        <w:t>FR</w:t>
      </w:r>
      <w:r>
        <w:rPr>
          <w:spacing w:val="-5"/>
        </w:rPr>
        <w:t> </w:t>
      </w:r>
      <w:r>
        <w:rPr/>
        <w:t>35490,</w:t>
      </w:r>
      <w:r>
        <w:rPr>
          <w:spacing w:val="-5"/>
        </w:rPr>
        <w:t> </w:t>
      </w:r>
      <w:r>
        <w:rPr/>
        <w:t>PIH-2019-</w:t>
      </w:r>
      <w:r>
        <w:rPr>
          <w:spacing w:val="-2"/>
        </w:rPr>
        <w:t>11(HA)</w:t>
      </w:r>
    </w:p>
    <w:p>
      <w:pPr>
        <w:pStyle w:val="BodyText"/>
        <w:rPr>
          <w:sz w:val="20"/>
        </w:rPr>
      </w:pPr>
    </w:p>
    <w:p>
      <w:pPr>
        <w:pStyle w:val="BodyText"/>
        <w:spacing w:before="10"/>
        <w:rPr>
          <w:sz w:val="23"/>
        </w:rPr>
      </w:pPr>
      <w:r>
        <w:rPr/>
        <w:pict>
          <v:shape style="position:absolute;margin-left:72.709801pt;margin-top:15.791357pt;width:463.8pt;height:.75pt;mso-position-horizontal-relative:page;mso-position-vertical-relative:paragraph;z-index:-15728640;mso-wrap-distance-left:0;mso-wrap-distance-right:0" id="docshape2" coordorigin="1454,316" coordsize="9276,15" path="m1454,330l10730,316m1454,330l10730,316m1454,330l10730,316m1454,330l10730,316e" filled="false" stroked="true" strokeweight="1.67pt" strokecolor="#000000">
            <v:path arrowok="t"/>
            <v:stroke dashstyle="solid"/>
            <w10:wrap type="topAndBottom"/>
          </v:shape>
        </w:pict>
      </w:r>
    </w:p>
    <w:p>
      <w:pPr>
        <w:pStyle w:val="Heading2"/>
        <w:spacing w:line="237" w:lineRule="auto" w:before="13"/>
        <w:ind w:left="120" w:right="1204" w:firstLine="0"/>
      </w:pPr>
      <w:r>
        <w:rPr/>
        <w:t>Subject:</w:t>
      </w:r>
      <w:r>
        <w:rPr>
          <w:spacing w:val="-5"/>
        </w:rPr>
        <w:t> </w:t>
      </w:r>
      <w:r>
        <w:rPr/>
        <w:t>Supplemental</w:t>
      </w:r>
      <w:r>
        <w:rPr>
          <w:spacing w:val="-6"/>
        </w:rPr>
        <w:t> </w:t>
      </w:r>
      <w:r>
        <w:rPr/>
        <w:t>Guidance</w:t>
      </w:r>
      <w:r>
        <w:rPr>
          <w:spacing w:val="-5"/>
        </w:rPr>
        <w:t> </w:t>
      </w:r>
      <w:r>
        <w:rPr/>
        <w:t>for</w:t>
      </w:r>
      <w:r>
        <w:rPr>
          <w:spacing w:val="-4"/>
        </w:rPr>
        <w:t> </w:t>
      </w:r>
      <w:r>
        <w:rPr/>
        <w:t>Implementation</w:t>
      </w:r>
      <w:r>
        <w:rPr>
          <w:spacing w:val="-3"/>
        </w:rPr>
        <w:t> </w:t>
      </w:r>
      <w:r>
        <w:rPr/>
        <w:t>of</w:t>
      </w:r>
      <w:r>
        <w:rPr>
          <w:spacing w:val="-4"/>
        </w:rPr>
        <w:t> </w:t>
      </w:r>
      <w:r>
        <w:rPr/>
        <w:t>Section</w:t>
      </w:r>
      <w:r>
        <w:rPr>
          <w:spacing w:val="-3"/>
        </w:rPr>
        <w:t> </w:t>
      </w:r>
      <w:r>
        <w:rPr/>
        <w:t>103;</w:t>
      </w:r>
      <w:r>
        <w:rPr>
          <w:spacing w:val="-4"/>
        </w:rPr>
        <w:t> </w:t>
      </w:r>
      <w:r>
        <w:rPr/>
        <w:t>Limitation</w:t>
      </w:r>
      <w:r>
        <w:rPr>
          <w:spacing w:val="-2"/>
        </w:rPr>
        <w:t> </w:t>
      </w:r>
      <w:r>
        <w:rPr/>
        <w:t>on</w:t>
      </w:r>
      <w:r>
        <w:rPr>
          <w:spacing w:val="-3"/>
        </w:rPr>
        <w:t> </w:t>
      </w:r>
      <w:r>
        <w:rPr/>
        <w:t>Public Housing Tenancy for Over-Income Families under the Housing Opportunity Through Modernization Act of 2016 (HOTMA)</w:t>
      </w:r>
    </w:p>
    <w:p>
      <w:pPr>
        <w:pStyle w:val="BodyText"/>
        <w:spacing w:before="2"/>
        <w:rPr>
          <w:b/>
          <w:sz w:val="21"/>
        </w:rPr>
      </w:pPr>
    </w:p>
    <w:p>
      <w:pPr>
        <w:pStyle w:val="BodyText"/>
        <w:ind w:left="120"/>
      </w:pPr>
      <w:r>
        <w:rPr>
          <w:color w:val="2E5395"/>
        </w:rPr>
        <w:t>Table</w:t>
      </w:r>
      <w:r>
        <w:rPr>
          <w:color w:val="2E5395"/>
          <w:spacing w:val="-3"/>
        </w:rPr>
        <w:t> </w:t>
      </w:r>
      <w:r>
        <w:rPr>
          <w:color w:val="2E5395"/>
        </w:rPr>
        <w:t>of</w:t>
      </w:r>
      <w:r>
        <w:rPr>
          <w:color w:val="2E5395"/>
          <w:spacing w:val="-2"/>
        </w:rPr>
        <w:t> Contents</w:t>
      </w:r>
    </w:p>
    <w:sdt>
      <w:sdtPr>
        <w:docPartObj>
          <w:docPartGallery w:val="Table of Contents"/>
          <w:docPartUnique/>
        </w:docPartObj>
      </w:sdtPr>
      <w:sdtEndPr/>
      <w:sdtContent>
        <w:p>
          <w:pPr>
            <w:pStyle w:val="TOC1"/>
            <w:numPr>
              <w:ilvl w:val="0"/>
              <w:numId w:val="1"/>
            </w:numPr>
            <w:tabs>
              <w:tab w:pos="559" w:val="left" w:leader="none"/>
              <w:tab w:pos="560" w:val="left" w:leader="none"/>
              <w:tab w:pos="9350" w:val="left" w:leader="dot"/>
            </w:tabs>
            <w:spacing w:line="240" w:lineRule="auto" w:before="0" w:after="0"/>
            <w:ind w:left="559" w:right="0" w:hanging="440"/>
            <w:jc w:val="left"/>
            <w:rPr>
              <w:b w:val="0"/>
            </w:rPr>
          </w:pPr>
          <w:hyperlink w:history="true" w:anchor="_bookmark0">
            <w:r>
              <w:rPr>
                <w:spacing w:val="-2"/>
              </w:rPr>
              <w:t>Purpose</w:t>
            </w:r>
            <w:r>
              <w:rPr/>
              <w:tab/>
            </w:r>
            <w:r>
              <w:rPr>
                <w:b w:val="0"/>
                <w:spacing w:val="-10"/>
              </w:rPr>
              <w:t>2</w:t>
            </w:r>
          </w:hyperlink>
        </w:p>
        <w:p>
          <w:pPr>
            <w:pStyle w:val="TOC1"/>
            <w:numPr>
              <w:ilvl w:val="0"/>
              <w:numId w:val="1"/>
            </w:numPr>
            <w:tabs>
              <w:tab w:pos="559" w:val="left" w:leader="none"/>
              <w:tab w:pos="560" w:val="left" w:leader="none"/>
              <w:tab w:pos="9350" w:val="left" w:leader="dot"/>
            </w:tabs>
            <w:spacing w:line="240" w:lineRule="auto" w:before="44" w:after="0"/>
            <w:ind w:left="559" w:right="0" w:hanging="440"/>
            <w:jc w:val="left"/>
            <w:rPr>
              <w:b w:val="0"/>
            </w:rPr>
          </w:pPr>
          <w:hyperlink w:history="true" w:anchor="_bookmark1">
            <w:r>
              <w:rPr>
                <w:spacing w:val="-2"/>
              </w:rPr>
              <w:t>Background</w:t>
            </w:r>
            <w:r>
              <w:rPr/>
              <w:tab/>
            </w:r>
            <w:r>
              <w:rPr>
                <w:b w:val="0"/>
                <w:spacing w:val="-10"/>
              </w:rPr>
              <w:t>2</w:t>
            </w:r>
          </w:hyperlink>
        </w:p>
        <w:p>
          <w:pPr>
            <w:pStyle w:val="TOC1"/>
            <w:numPr>
              <w:ilvl w:val="0"/>
              <w:numId w:val="1"/>
            </w:numPr>
            <w:tabs>
              <w:tab w:pos="559" w:val="left" w:leader="none"/>
              <w:tab w:pos="560" w:val="left" w:leader="none"/>
              <w:tab w:pos="9350" w:val="left" w:leader="dot"/>
            </w:tabs>
            <w:spacing w:line="240" w:lineRule="auto" w:before="40" w:after="0"/>
            <w:ind w:left="559" w:right="0" w:hanging="440"/>
            <w:jc w:val="left"/>
            <w:rPr>
              <w:b w:val="0"/>
            </w:rPr>
          </w:pPr>
          <w:hyperlink w:history="true" w:anchor="_bookmark8">
            <w:r>
              <w:rPr>
                <w:spacing w:val="-2"/>
              </w:rPr>
              <w:t>Applicability</w:t>
            </w:r>
            <w:r>
              <w:rPr/>
              <w:tab/>
            </w:r>
            <w:r>
              <w:rPr>
                <w:b w:val="0"/>
                <w:spacing w:val="-10"/>
              </w:rPr>
              <w:t>4</w:t>
            </w:r>
          </w:hyperlink>
        </w:p>
        <w:p>
          <w:pPr>
            <w:pStyle w:val="TOC1"/>
            <w:numPr>
              <w:ilvl w:val="0"/>
              <w:numId w:val="1"/>
            </w:numPr>
            <w:tabs>
              <w:tab w:pos="559" w:val="left" w:leader="none"/>
              <w:tab w:pos="560" w:val="left" w:leader="none"/>
              <w:tab w:pos="9350" w:val="left" w:leader="dot"/>
            </w:tabs>
            <w:spacing w:line="240" w:lineRule="auto" w:before="41" w:after="0"/>
            <w:ind w:left="559" w:right="0" w:hanging="440"/>
            <w:jc w:val="left"/>
            <w:rPr>
              <w:b w:val="0"/>
            </w:rPr>
          </w:pPr>
          <w:hyperlink w:history="true" w:anchor="_bookmark9">
            <w:r>
              <w:rPr/>
              <w:t>Key</w:t>
            </w:r>
            <w:r>
              <w:rPr>
                <w:spacing w:val="-3"/>
              </w:rPr>
              <w:t> </w:t>
            </w:r>
            <w:r>
              <w:rPr>
                <w:spacing w:val="-2"/>
              </w:rPr>
              <w:t>Terms</w:t>
            </w:r>
            <w:r>
              <w:rPr/>
              <w:tab/>
            </w:r>
            <w:r>
              <w:rPr>
                <w:b w:val="0"/>
                <w:spacing w:val="-10"/>
              </w:rPr>
              <w:t>5</w:t>
            </w:r>
          </w:hyperlink>
        </w:p>
        <w:p>
          <w:pPr>
            <w:pStyle w:val="TOC1"/>
            <w:numPr>
              <w:ilvl w:val="0"/>
              <w:numId w:val="1"/>
            </w:numPr>
            <w:tabs>
              <w:tab w:pos="559" w:val="left" w:leader="none"/>
              <w:tab w:pos="560" w:val="left" w:leader="none"/>
              <w:tab w:pos="9350" w:val="left" w:leader="dot"/>
            </w:tabs>
            <w:spacing w:line="276" w:lineRule="auto" w:before="41" w:after="0"/>
            <w:ind w:left="120" w:right="1207" w:firstLine="0"/>
            <w:jc w:val="left"/>
            <w:rPr>
              <w:b w:val="0"/>
            </w:rPr>
          </w:pPr>
          <w:hyperlink w:history="true" w:anchor="_bookmark12">
            <w:r>
              <w:rPr/>
              <w:t>Effective Date of Over-Income Limits and Integration into the Admissions and</w:t>
            </w:r>
          </w:hyperlink>
          <w:r>
            <w:rPr/>
            <w:t> </w:t>
          </w:r>
          <w:hyperlink w:history="true" w:anchor="_bookmark12">
            <w:r>
              <w:rPr/>
              <w:t>Continued</w:t>
            </w:r>
            <w:r>
              <w:rPr>
                <w:spacing w:val="-8"/>
              </w:rPr>
              <w:t> </w:t>
            </w:r>
            <w:r>
              <w:rPr/>
              <w:t>Occupancy</w:t>
            </w:r>
            <w:r>
              <w:rPr>
                <w:spacing w:val="-10"/>
              </w:rPr>
              <w:t> </w:t>
            </w:r>
            <w:r>
              <w:rPr/>
              <w:t>Policies</w:t>
            </w:r>
            <w:r>
              <w:rPr>
                <w:spacing w:val="-8"/>
              </w:rPr>
              <w:t> </w:t>
            </w:r>
            <w:r>
              <w:rPr>
                <w:spacing w:val="-2"/>
              </w:rPr>
              <w:t>(ACOP)</w:t>
            </w:r>
            <w:r>
              <w:rPr/>
              <w:tab/>
            </w:r>
            <w:r>
              <w:rPr>
                <w:b w:val="0"/>
                <w:spacing w:val="-10"/>
              </w:rPr>
              <w:t>6</w:t>
            </w:r>
          </w:hyperlink>
        </w:p>
        <w:p>
          <w:pPr>
            <w:pStyle w:val="TOC1"/>
            <w:numPr>
              <w:ilvl w:val="0"/>
              <w:numId w:val="1"/>
            </w:numPr>
            <w:tabs>
              <w:tab w:pos="559" w:val="left" w:leader="none"/>
              <w:tab w:pos="560" w:val="left" w:leader="none"/>
              <w:tab w:pos="9350" w:val="left" w:leader="dot"/>
            </w:tabs>
            <w:spacing w:line="240" w:lineRule="auto" w:before="2" w:after="0"/>
            <w:ind w:left="559" w:right="0" w:hanging="440"/>
            <w:jc w:val="left"/>
            <w:rPr>
              <w:b w:val="0"/>
            </w:rPr>
          </w:pPr>
          <w:hyperlink w:history="true" w:anchor="_bookmark15">
            <w:r>
              <w:rPr/>
              <w:t>Summary</w:t>
            </w:r>
            <w:r>
              <w:rPr>
                <w:spacing w:val="-9"/>
              </w:rPr>
              <w:t> </w:t>
            </w:r>
            <w:r>
              <w:rPr/>
              <w:t>of</w:t>
            </w:r>
            <w:r>
              <w:rPr>
                <w:spacing w:val="-9"/>
              </w:rPr>
              <w:t> </w:t>
            </w:r>
            <w:r>
              <w:rPr/>
              <w:t>Associated</w:t>
            </w:r>
            <w:r>
              <w:rPr>
                <w:spacing w:val="-7"/>
              </w:rPr>
              <w:t> </w:t>
            </w:r>
            <w:r>
              <w:rPr/>
              <w:t>Regulatory</w:t>
            </w:r>
            <w:r>
              <w:rPr>
                <w:spacing w:val="-8"/>
              </w:rPr>
              <w:t> </w:t>
            </w:r>
            <w:r>
              <w:rPr>
                <w:spacing w:val="-2"/>
              </w:rPr>
              <w:t>Changes</w:t>
            </w:r>
            <w:r>
              <w:rPr/>
              <w:tab/>
            </w:r>
            <w:r>
              <w:rPr>
                <w:b w:val="0"/>
                <w:spacing w:val="-10"/>
              </w:rPr>
              <w:t>7</w:t>
            </w:r>
          </w:hyperlink>
        </w:p>
        <w:p>
          <w:pPr>
            <w:pStyle w:val="TOC1"/>
            <w:numPr>
              <w:ilvl w:val="0"/>
              <w:numId w:val="1"/>
            </w:numPr>
            <w:tabs>
              <w:tab w:pos="559" w:val="left" w:leader="none"/>
              <w:tab w:pos="560" w:val="left" w:leader="none"/>
              <w:tab w:pos="9350" w:val="left" w:leader="dot"/>
            </w:tabs>
            <w:spacing w:line="240" w:lineRule="auto" w:before="40" w:after="0"/>
            <w:ind w:left="559" w:right="0" w:hanging="440"/>
            <w:jc w:val="left"/>
            <w:rPr>
              <w:b w:val="0"/>
            </w:rPr>
          </w:pPr>
          <w:hyperlink w:history="true" w:anchor="_bookmark16">
            <w:r>
              <w:rPr/>
              <w:t>Implementing</w:t>
            </w:r>
            <w:r>
              <w:rPr>
                <w:spacing w:val="-9"/>
              </w:rPr>
              <w:t> </w:t>
            </w:r>
            <w:r>
              <w:rPr/>
              <w:t>Over-Income</w:t>
            </w:r>
            <w:r>
              <w:rPr>
                <w:spacing w:val="-9"/>
              </w:rPr>
              <w:t> </w:t>
            </w:r>
            <w:r>
              <w:rPr>
                <w:spacing w:val="-2"/>
              </w:rPr>
              <w:t>Policies</w:t>
            </w:r>
            <w:r>
              <w:rPr/>
              <w:tab/>
            </w:r>
            <w:r>
              <w:rPr>
                <w:b w:val="0"/>
                <w:spacing w:val="-10"/>
              </w:rPr>
              <w:t>9</w:t>
            </w:r>
          </w:hyperlink>
        </w:p>
        <w:p>
          <w:pPr>
            <w:pStyle w:val="TOC3"/>
            <w:numPr>
              <w:ilvl w:val="1"/>
              <w:numId w:val="1"/>
            </w:numPr>
            <w:tabs>
              <w:tab w:pos="779" w:val="left" w:leader="none"/>
              <w:tab w:pos="780" w:val="left" w:leader="none"/>
              <w:tab w:pos="9230" w:val="left" w:leader="dot"/>
            </w:tabs>
            <w:spacing w:line="240" w:lineRule="auto" w:before="41" w:after="0"/>
            <w:ind w:left="779" w:right="0" w:hanging="440"/>
            <w:jc w:val="left"/>
          </w:pPr>
          <w:hyperlink w:history="true" w:anchor="_bookmark17">
            <w:r>
              <w:rPr/>
              <w:t>Determination</w:t>
            </w:r>
            <w:r>
              <w:rPr>
                <w:spacing w:val="-3"/>
              </w:rPr>
              <w:t> </w:t>
            </w:r>
            <w:r>
              <w:rPr/>
              <w:t>of</w:t>
            </w:r>
            <w:r>
              <w:rPr>
                <w:spacing w:val="-3"/>
              </w:rPr>
              <w:t> </w:t>
            </w:r>
            <w:r>
              <w:rPr/>
              <w:t>the</w:t>
            </w:r>
            <w:r>
              <w:rPr>
                <w:spacing w:val="-3"/>
              </w:rPr>
              <w:t> </w:t>
            </w:r>
            <w:r>
              <w:rPr/>
              <w:t>OI</w:t>
            </w:r>
            <w:r>
              <w:rPr>
                <w:spacing w:val="-1"/>
              </w:rPr>
              <w:t> </w:t>
            </w:r>
            <w:r>
              <w:rPr>
                <w:spacing w:val="-2"/>
              </w:rPr>
              <w:t>Limit</w:t>
            </w:r>
            <w:r>
              <w:rPr/>
              <w:tab/>
            </w:r>
            <w:r>
              <w:rPr>
                <w:spacing w:val="-5"/>
              </w:rPr>
              <w:t>10</w:t>
            </w:r>
          </w:hyperlink>
        </w:p>
        <w:p>
          <w:pPr>
            <w:pStyle w:val="TOC3"/>
            <w:numPr>
              <w:ilvl w:val="1"/>
              <w:numId w:val="1"/>
            </w:numPr>
            <w:tabs>
              <w:tab w:pos="779" w:val="left" w:leader="none"/>
              <w:tab w:pos="780" w:val="left" w:leader="none"/>
              <w:tab w:pos="9230" w:val="left" w:leader="dot"/>
            </w:tabs>
            <w:spacing w:line="240" w:lineRule="auto" w:before="123" w:after="0"/>
            <w:ind w:left="779" w:right="0" w:hanging="440"/>
            <w:jc w:val="left"/>
          </w:pPr>
          <w:hyperlink w:history="true" w:anchor="_bookmark19">
            <w:r>
              <w:rPr/>
              <w:t>Notification</w:t>
            </w:r>
            <w:r>
              <w:rPr>
                <w:spacing w:val="-6"/>
              </w:rPr>
              <w:t> </w:t>
            </w:r>
            <w:r>
              <w:rPr>
                <w:spacing w:val="-2"/>
              </w:rPr>
              <w:t>Requirements</w:t>
            </w:r>
            <w:r>
              <w:rPr/>
              <w:tab/>
            </w:r>
            <w:r>
              <w:rPr>
                <w:spacing w:val="-7"/>
              </w:rPr>
              <w:t>10</w:t>
            </w:r>
          </w:hyperlink>
        </w:p>
        <w:p>
          <w:pPr>
            <w:pStyle w:val="TOC3"/>
            <w:numPr>
              <w:ilvl w:val="1"/>
              <w:numId w:val="1"/>
            </w:numPr>
            <w:tabs>
              <w:tab w:pos="779" w:val="left" w:leader="none"/>
              <w:tab w:pos="780" w:val="left" w:leader="none"/>
              <w:tab w:pos="9229" w:val="left" w:leader="dot"/>
            </w:tabs>
            <w:spacing w:line="240" w:lineRule="auto" w:before="122" w:after="0"/>
            <w:ind w:left="779" w:right="0" w:hanging="440"/>
            <w:jc w:val="left"/>
          </w:pPr>
          <w:hyperlink w:history="true" w:anchor="_bookmark21">
            <w:r>
              <w:rPr/>
              <w:t>Limitation</w:t>
            </w:r>
            <w:r>
              <w:rPr>
                <w:spacing w:val="-2"/>
              </w:rPr>
              <w:t> </w:t>
            </w:r>
            <w:r>
              <w:rPr/>
              <w:t>on</w:t>
            </w:r>
            <w:r>
              <w:rPr>
                <w:spacing w:val="-2"/>
              </w:rPr>
              <w:t> </w:t>
            </w:r>
            <w:r>
              <w:rPr/>
              <w:t>public</w:t>
            </w:r>
            <w:r>
              <w:rPr>
                <w:spacing w:val="-2"/>
              </w:rPr>
              <w:t> </w:t>
            </w:r>
            <w:r>
              <w:rPr/>
              <w:t>housing</w:t>
            </w:r>
            <w:r>
              <w:rPr>
                <w:spacing w:val="-2"/>
              </w:rPr>
              <w:t> tenancy</w:t>
            </w:r>
            <w:r>
              <w:rPr/>
              <w:tab/>
            </w:r>
            <w:r>
              <w:rPr>
                <w:spacing w:val="-5"/>
              </w:rPr>
              <w:t>12</w:t>
            </w:r>
          </w:hyperlink>
        </w:p>
        <w:p>
          <w:pPr>
            <w:pStyle w:val="TOC3"/>
            <w:numPr>
              <w:ilvl w:val="1"/>
              <w:numId w:val="1"/>
            </w:numPr>
            <w:tabs>
              <w:tab w:pos="779" w:val="left" w:leader="none"/>
              <w:tab w:pos="780" w:val="left" w:leader="none"/>
              <w:tab w:pos="9229" w:val="left" w:leader="dot"/>
            </w:tabs>
            <w:spacing w:line="240" w:lineRule="auto" w:before="120" w:after="0"/>
            <w:ind w:left="779" w:right="0" w:hanging="440"/>
            <w:jc w:val="left"/>
          </w:pPr>
          <w:hyperlink w:history="true" w:anchor="_bookmark27">
            <w:r>
              <w:rPr/>
              <w:t>End</w:t>
            </w:r>
            <w:r>
              <w:rPr>
                <w:spacing w:val="-3"/>
              </w:rPr>
              <w:t> </w:t>
            </w:r>
            <w:r>
              <w:rPr/>
              <w:t>of</w:t>
            </w:r>
            <w:r>
              <w:rPr>
                <w:spacing w:val="-3"/>
              </w:rPr>
              <w:t> </w:t>
            </w:r>
            <w:r>
              <w:rPr/>
              <w:t>the</w:t>
            </w:r>
            <w:r>
              <w:rPr>
                <w:spacing w:val="-2"/>
              </w:rPr>
              <w:t> </w:t>
            </w:r>
            <w:r>
              <w:rPr/>
              <w:t>grace</w:t>
            </w:r>
            <w:r>
              <w:rPr>
                <w:spacing w:val="-2"/>
              </w:rPr>
              <w:t> </w:t>
            </w:r>
            <w:r>
              <w:rPr/>
              <w:t>period</w:t>
            </w:r>
            <w:r>
              <w:rPr>
                <w:spacing w:val="-1"/>
              </w:rPr>
              <w:t> </w:t>
            </w:r>
            <w:r>
              <w:rPr/>
              <w:t>and</w:t>
            </w:r>
            <w:r>
              <w:rPr>
                <w:spacing w:val="-1"/>
              </w:rPr>
              <w:t> </w:t>
            </w:r>
            <w:r>
              <w:rPr/>
              <w:t>Status</w:t>
            </w:r>
            <w:r>
              <w:rPr>
                <w:spacing w:val="-1"/>
              </w:rPr>
              <w:t> </w:t>
            </w:r>
            <w:r>
              <w:rPr/>
              <w:t>of</w:t>
            </w:r>
            <w:r>
              <w:rPr>
                <w:spacing w:val="-1"/>
              </w:rPr>
              <w:t> </w:t>
            </w:r>
            <w:r>
              <w:rPr/>
              <w:t>an</w:t>
            </w:r>
            <w:r>
              <w:rPr>
                <w:spacing w:val="-2"/>
              </w:rPr>
              <w:t> </w:t>
            </w:r>
            <w:r>
              <w:rPr/>
              <w:t>Over-Income</w:t>
            </w:r>
            <w:r>
              <w:rPr>
                <w:spacing w:val="-3"/>
              </w:rPr>
              <w:t> </w:t>
            </w:r>
            <w:r>
              <w:rPr>
                <w:spacing w:val="-2"/>
              </w:rPr>
              <w:t>Family</w:t>
            </w:r>
            <w:r>
              <w:rPr/>
              <w:tab/>
            </w:r>
            <w:r>
              <w:rPr>
                <w:spacing w:val="-5"/>
              </w:rPr>
              <w:t>13</w:t>
            </w:r>
          </w:hyperlink>
        </w:p>
        <w:p>
          <w:pPr>
            <w:pStyle w:val="TOC3"/>
            <w:numPr>
              <w:ilvl w:val="1"/>
              <w:numId w:val="1"/>
            </w:numPr>
            <w:tabs>
              <w:tab w:pos="779" w:val="left" w:leader="none"/>
              <w:tab w:pos="780" w:val="left" w:leader="none"/>
              <w:tab w:pos="9230" w:val="left" w:leader="dot"/>
            </w:tabs>
            <w:spacing w:line="240" w:lineRule="auto" w:before="122" w:after="0"/>
            <w:ind w:left="779" w:right="0" w:hanging="440"/>
            <w:jc w:val="left"/>
          </w:pPr>
          <w:hyperlink w:history="true" w:anchor="_bookmark35">
            <w:r>
              <w:rPr/>
              <w:t>Reporting</w:t>
            </w:r>
            <w:r>
              <w:rPr>
                <w:spacing w:val="-2"/>
              </w:rPr>
              <w:t> Requirements</w:t>
            </w:r>
            <w:r>
              <w:rPr/>
              <w:tab/>
            </w:r>
            <w:r>
              <w:rPr>
                <w:spacing w:val="-7"/>
              </w:rPr>
              <w:t>15</w:t>
            </w:r>
          </w:hyperlink>
        </w:p>
        <w:p>
          <w:pPr>
            <w:pStyle w:val="TOC1"/>
            <w:numPr>
              <w:ilvl w:val="0"/>
              <w:numId w:val="1"/>
            </w:numPr>
            <w:tabs>
              <w:tab w:pos="559" w:val="left" w:leader="none"/>
              <w:tab w:pos="560" w:val="left" w:leader="none"/>
              <w:tab w:pos="9230" w:val="left" w:leader="dot"/>
            </w:tabs>
            <w:spacing w:line="240" w:lineRule="auto" w:before="123" w:after="0"/>
            <w:ind w:left="559" w:right="0" w:hanging="440"/>
            <w:jc w:val="left"/>
            <w:rPr>
              <w:b w:val="0"/>
            </w:rPr>
          </w:pPr>
          <w:hyperlink w:history="true" w:anchor="_bookmark38">
            <w:r>
              <w:rPr/>
              <w:t>Determination</w:t>
            </w:r>
            <w:r>
              <w:rPr>
                <w:spacing w:val="-5"/>
              </w:rPr>
              <w:t> </w:t>
            </w:r>
            <w:r>
              <w:rPr/>
              <w:t>of</w:t>
            </w:r>
            <w:r>
              <w:rPr>
                <w:spacing w:val="-6"/>
              </w:rPr>
              <w:t> </w:t>
            </w:r>
            <w:r>
              <w:rPr/>
              <w:t>the</w:t>
            </w:r>
            <w:r>
              <w:rPr>
                <w:spacing w:val="-6"/>
              </w:rPr>
              <w:t> </w:t>
            </w:r>
            <w:r>
              <w:rPr/>
              <w:t>Alternative</w:t>
            </w:r>
            <w:r>
              <w:rPr>
                <w:spacing w:val="-6"/>
              </w:rPr>
              <w:t> </w:t>
            </w:r>
            <w:r>
              <w:rPr/>
              <w:t>Rent</w:t>
            </w:r>
            <w:r>
              <w:rPr>
                <w:spacing w:val="-6"/>
              </w:rPr>
              <w:t> </w:t>
            </w:r>
            <w:r>
              <w:rPr/>
              <w:t>and</w:t>
            </w:r>
            <w:r>
              <w:rPr>
                <w:spacing w:val="-5"/>
              </w:rPr>
              <w:t> </w:t>
            </w:r>
            <w:r>
              <w:rPr/>
              <w:t>the</w:t>
            </w:r>
            <w:r>
              <w:rPr>
                <w:spacing w:val="-5"/>
              </w:rPr>
              <w:t> </w:t>
            </w:r>
            <w:r>
              <w:rPr/>
              <w:t>new</w:t>
            </w:r>
            <w:r>
              <w:rPr>
                <w:spacing w:val="-6"/>
              </w:rPr>
              <w:t> </w:t>
            </w:r>
            <w:r>
              <w:rPr/>
              <w:t>lease</w:t>
            </w:r>
            <w:r>
              <w:rPr>
                <w:spacing w:val="-6"/>
              </w:rPr>
              <w:t> </w:t>
            </w:r>
            <w:r>
              <w:rPr/>
              <w:t>for</w:t>
            </w:r>
            <w:r>
              <w:rPr>
                <w:spacing w:val="-4"/>
              </w:rPr>
              <w:t> </w:t>
            </w:r>
            <w:r>
              <w:rPr/>
              <w:t>NPHOI</w:t>
            </w:r>
            <w:r>
              <w:rPr>
                <w:spacing w:val="-4"/>
              </w:rPr>
              <w:t> </w:t>
            </w:r>
            <w:r>
              <w:rPr>
                <w:spacing w:val="-2"/>
              </w:rPr>
              <w:t>families</w:t>
            </w:r>
            <w:r>
              <w:rPr/>
              <w:tab/>
            </w:r>
            <w:r>
              <w:rPr>
                <w:b w:val="0"/>
                <w:spacing w:val="-5"/>
              </w:rPr>
              <w:t>16</w:t>
            </w:r>
          </w:hyperlink>
        </w:p>
        <w:p>
          <w:pPr>
            <w:pStyle w:val="TOC1"/>
            <w:numPr>
              <w:ilvl w:val="0"/>
              <w:numId w:val="1"/>
            </w:numPr>
            <w:tabs>
              <w:tab w:pos="559" w:val="left" w:leader="none"/>
              <w:tab w:pos="560" w:val="left" w:leader="none"/>
              <w:tab w:pos="9230" w:val="left" w:leader="dot"/>
            </w:tabs>
            <w:spacing w:line="240" w:lineRule="auto" w:before="41" w:after="0"/>
            <w:ind w:left="559" w:right="0" w:hanging="440"/>
            <w:jc w:val="left"/>
            <w:rPr>
              <w:b w:val="0"/>
            </w:rPr>
          </w:pPr>
          <w:hyperlink w:history="true" w:anchor="_bookmark41">
            <w:r>
              <w:rPr/>
              <w:t>Unit</w:t>
            </w:r>
            <w:r>
              <w:rPr>
                <w:spacing w:val="-9"/>
              </w:rPr>
              <w:t> </w:t>
            </w:r>
            <w:r>
              <w:rPr/>
              <w:t>Tenant</w:t>
            </w:r>
            <w:r>
              <w:rPr>
                <w:spacing w:val="-10"/>
              </w:rPr>
              <w:t> </w:t>
            </w:r>
            <w:r>
              <w:rPr/>
              <w:t>Status</w:t>
            </w:r>
            <w:r>
              <w:rPr>
                <w:spacing w:val="-8"/>
              </w:rPr>
              <w:t> </w:t>
            </w:r>
            <w:r>
              <w:rPr/>
              <w:t>Category</w:t>
            </w:r>
            <w:r>
              <w:rPr>
                <w:spacing w:val="-9"/>
              </w:rPr>
              <w:t> </w:t>
            </w:r>
            <w:r>
              <w:rPr/>
              <w:t>and</w:t>
            </w:r>
            <w:r>
              <w:rPr>
                <w:spacing w:val="-8"/>
              </w:rPr>
              <w:t> </w:t>
            </w:r>
            <w:r>
              <w:rPr/>
              <w:t>Sub-</w:t>
            </w:r>
            <w:r>
              <w:rPr>
                <w:spacing w:val="-2"/>
              </w:rPr>
              <w:t>Category</w:t>
            </w:r>
            <w:r>
              <w:rPr/>
              <w:tab/>
            </w:r>
            <w:r>
              <w:rPr>
                <w:b w:val="0"/>
                <w:spacing w:val="-5"/>
              </w:rPr>
              <w:t>17</w:t>
            </w:r>
          </w:hyperlink>
        </w:p>
        <w:p>
          <w:pPr>
            <w:pStyle w:val="TOC1"/>
            <w:numPr>
              <w:ilvl w:val="0"/>
              <w:numId w:val="1"/>
            </w:numPr>
            <w:tabs>
              <w:tab w:pos="560" w:val="left" w:leader="none"/>
              <w:tab w:pos="9229" w:val="left" w:leader="dot"/>
            </w:tabs>
            <w:spacing w:line="240" w:lineRule="auto" w:before="41" w:after="0"/>
            <w:ind w:left="559" w:right="0" w:hanging="440"/>
            <w:jc w:val="left"/>
            <w:rPr>
              <w:b w:val="0"/>
            </w:rPr>
          </w:pPr>
          <w:hyperlink w:history="true" w:anchor="_bookmark42">
            <w:r>
              <w:rPr>
                <w:spacing w:val="-2"/>
              </w:rPr>
              <w:t>Repositioning</w:t>
            </w:r>
            <w:r>
              <w:rPr/>
              <w:tab/>
            </w:r>
            <w:r>
              <w:rPr>
                <w:b w:val="0"/>
                <w:spacing w:val="-5"/>
              </w:rPr>
              <w:t>17</w:t>
            </w:r>
          </w:hyperlink>
        </w:p>
        <w:p>
          <w:pPr>
            <w:pStyle w:val="TOC1"/>
            <w:numPr>
              <w:ilvl w:val="0"/>
              <w:numId w:val="1"/>
            </w:numPr>
            <w:tabs>
              <w:tab w:pos="560" w:val="left" w:leader="none"/>
              <w:tab w:pos="9229" w:val="left" w:leader="dot"/>
            </w:tabs>
            <w:spacing w:line="240" w:lineRule="auto" w:before="43" w:after="0"/>
            <w:ind w:left="559" w:right="0" w:hanging="440"/>
            <w:jc w:val="left"/>
            <w:rPr>
              <w:b w:val="0"/>
            </w:rPr>
          </w:pPr>
          <w:hyperlink w:history="true" w:anchor="_bookmark44">
            <w:r>
              <w:rPr/>
              <w:t>Technical</w:t>
            </w:r>
            <w:r>
              <w:rPr>
                <w:spacing w:val="-6"/>
              </w:rPr>
              <w:t> </w:t>
            </w:r>
            <w:r>
              <w:rPr>
                <w:spacing w:val="-2"/>
              </w:rPr>
              <w:t>Assistance</w:t>
            </w:r>
            <w:r>
              <w:rPr/>
              <w:tab/>
            </w:r>
            <w:r>
              <w:rPr>
                <w:b w:val="0"/>
                <w:spacing w:val="-5"/>
              </w:rPr>
              <w:t>18</w:t>
            </w:r>
          </w:hyperlink>
        </w:p>
        <w:p>
          <w:pPr>
            <w:pStyle w:val="TOC1"/>
            <w:numPr>
              <w:ilvl w:val="0"/>
              <w:numId w:val="1"/>
            </w:numPr>
            <w:tabs>
              <w:tab w:pos="560" w:val="left" w:leader="none"/>
              <w:tab w:pos="9230" w:val="left" w:leader="dot"/>
            </w:tabs>
            <w:spacing w:line="240" w:lineRule="auto" w:before="41" w:after="0"/>
            <w:ind w:left="559" w:right="0" w:hanging="440"/>
            <w:jc w:val="left"/>
            <w:rPr>
              <w:b w:val="0"/>
            </w:rPr>
          </w:pPr>
          <w:hyperlink w:history="true" w:anchor="_bookmark45">
            <w:r>
              <w:rPr/>
              <w:t>Paperwork</w:t>
            </w:r>
            <w:r>
              <w:rPr>
                <w:spacing w:val="-11"/>
              </w:rPr>
              <w:t> </w:t>
            </w:r>
            <w:r>
              <w:rPr/>
              <w:t>Reduction</w:t>
            </w:r>
            <w:r>
              <w:rPr>
                <w:spacing w:val="-8"/>
              </w:rPr>
              <w:t> </w:t>
            </w:r>
            <w:r>
              <w:rPr>
                <w:spacing w:val="-5"/>
              </w:rPr>
              <w:t>Act</w:t>
            </w:r>
            <w:r>
              <w:rPr/>
              <w:tab/>
            </w:r>
            <w:r>
              <w:rPr>
                <w:b w:val="0"/>
                <w:spacing w:val="-5"/>
              </w:rPr>
              <w:t>18</w:t>
            </w:r>
          </w:hyperlink>
        </w:p>
        <w:p>
          <w:pPr>
            <w:pStyle w:val="TOC2"/>
            <w:tabs>
              <w:tab w:pos="9229" w:val="left" w:leader="dot"/>
            </w:tabs>
          </w:pPr>
          <w:hyperlink w:history="true" w:anchor="_bookmark47">
            <w:r>
              <w:rPr/>
              <w:t>Appendix</w:t>
            </w:r>
            <w:r>
              <w:rPr>
                <w:spacing w:val="-2"/>
              </w:rPr>
              <w:t> </w:t>
            </w:r>
            <w:r>
              <w:rPr/>
              <w:t>I</w:t>
            </w:r>
            <w:r>
              <w:rPr>
                <w:spacing w:val="-6"/>
              </w:rPr>
              <w:t> </w:t>
            </w:r>
            <w:r>
              <w:rPr/>
              <w:t>–</w:t>
            </w:r>
            <w:r>
              <w:rPr>
                <w:spacing w:val="-3"/>
              </w:rPr>
              <w:t> </w:t>
            </w:r>
            <w:r>
              <w:rPr/>
              <w:t>How</w:t>
            </w:r>
            <w:r>
              <w:rPr>
                <w:spacing w:val="-4"/>
              </w:rPr>
              <w:t> </w:t>
            </w:r>
            <w:r>
              <w:rPr/>
              <w:t>to</w:t>
            </w:r>
            <w:r>
              <w:rPr>
                <w:spacing w:val="-3"/>
              </w:rPr>
              <w:t> </w:t>
            </w:r>
            <w:r>
              <w:rPr/>
              <w:t>Process</w:t>
            </w:r>
            <w:r>
              <w:rPr>
                <w:spacing w:val="-3"/>
              </w:rPr>
              <w:t> </w:t>
            </w:r>
            <w:r>
              <w:rPr/>
              <w:t>an</w:t>
            </w:r>
            <w:r>
              <w:rPr>
                <w:spacing w:val="-3"/>
              </w:rPr>
              <w:t> </w:t>
            </w:r>
            <w:r>
              <w:rPr/>
              <w:t>Over-Income</w:t>
            </w:r>
            <w:r>
              <w:rPr>
                <w:spacing w:val="-2"/>
              </w:rPr>
              <w:t> Family</w:t>
            </w:r>
            <w:r>
              <w:rPr/>
              <w:tab/>
            </w:r>
            <w:r>
              <w:rPr>
                <w:spacing w:val="-5"/>
              </w:rPr>
              <w:t>19</w:t>
            </w:r>
          </w:hyperlink>
        </w:p>
        <w:p>
          <w:pPr>
            <w:pStyle w:val="TOC2"/>
            <w:tabs>
              <w:tab w:pos="9229" w:val="left" w:leader="dot"/>
            </w:tabs>
            <w:spacing w:before="41"/>
          </w:pPr>
          <w:hyperlink w:history="true" w:anchor="_bookmark48">
            <w:r>
              <w:rPr/>
              <w:t>Appendix</w:t>
            </w:r>
            <w:r>
              <w:rPr>
                <w:spacing w:val="-1"/>
              </w:rPr>
              <w:t> </w:t>
            </w:r>
            <w:r>
              <w:rPr/>
              <w:t>II</w:t>
            </w:r>
            <w:r>
              <w:rPr>
                <w:spacing w:val="-6"/>
              </w:rPr>
              <w:t> </w:t>
            </w:r>
            <w:r>
              <w:rPr/>
              <w:t>–</w:t>
            </w:r>
            <w:r>
              <w:rPr>
                <w:spacing w:val="-2"/>
              </w:rPr>
              <w:t> </w:t>
            </w:r>
            <w:r>
              <w:rPr/>
              <w:t>Calculating</w:t>
            </w:r>
            <w:r>
              <w:rPr>
                <w:spacing w:val="-2"/>
              </w:rPr>
              <w:t> </w:t>
            </w:r>
            <w:r>
              <w:rPr/>
              <w:t>the</w:t>
            </w:r>
            <w:r>
              <w:rPr>
                <w:spacing w:val="-3"/>
              </w:rPr>
              <w:t> </w:t>
            </w:r>
            <w:r>
              <w:rPr/>
              <w:t>Over-Income</w:t>
            </w:r>
            <w:r>
              <w:rPr>
                <w:spacing w:val="-2"/>
              </w:rPr>
              <w:t> Limit</w:t>
            </w:r>
            <w:r>
              <w:rPr/>
              <w:tab/>
            </w:r>
            <w:r>
              <w:rPr>
                <w:spacing w:val="-5"/>
              </w:rPr>
              <w:t>21</w:t>
            </w:r>
          </w:hyperlink>
        </w:p>
      </w:sdtContent>
    </w:sdt>
    <w:p>
      <w:pPr>
        <w:spacing w:after="0"/>
        <w:sectPr>
          <w:footerReference w:type="default" r:id="rId5"/>
          <w:type w:val="continuous"/>
          <w:pgSz w:w="12240" w:h="15840"/>
          <w:pgMar w:footer="1014" w:header="0" w:top="720" w:bottom="1200" w:left="1320" w:right="240"/>
          <w:pgNumType w:start="1"/>
        </w:sectPr>
      </w:pPr>
    </w:p>
    <w:p>
      <w:pPr>
        <w:pStyle w:val="Heading2"/>
        <w:numPr>
          <w:ilvl w:val="0"/>
          <w:numId w:val="2"/>
        </w:numPr>
        <w:tabs>
          <w:tab w:pos="840" w:val="left" w:leader="none"/>
        </w:tabs>
        <w:spacing w:line="240" w:lineRule="auto" w:before="79" w:after="0"/>
        <w:ind w:left="840" w:right="0" w:hanging="360"/>
        <w:jc w:val="left"/>
      </w:pPr>
      <w:bookmarkStart w:name="1. Purpose" w:id="1"/>
      <w:bookmarkEnd w:id="1"/>
      <w:r>
        <w:rPr>
          <w:b w:val="0"/>
        </w:rPr>
      </w:r>
      <w:bookmarkStart w:name="_bookmark0" w:id="2"/>
      <w:bookmarkEnd w:id="2"/>
      <w:r>
        <w:rPr>
          <w:spacing w:val="-2"/>
        </w:rPr>
        <w:t>Pu</w:t>
      </w:r>
      <w:r>
        <w:rPr>
          <w:spacing w:val="-2"/>
        </w:rPr>
        <w:t>rpose</w:t>
      </w:r>
    </w:p>
    <w:p>
      <w:pPr>
        <w:pStyle w:val="BodyText"/>
        <w:ind w:left="120" w:right="1482"/>
      </w:pPr>
      <w:r>
        <w:rPr/>
        <w:t>This</w:t>
      </w:r>
      <w:r>
        <w:rPr>
          <w:spacing w:val="-4"/>
        </w:rPr>
        <w:t> </w:t>
      </w:r>
      <w:r>
        <w:rPr/>
        <w:t>notice</w:t>
      </w:r>
      <w:r>
        <w:rPr>
          <w:spacing w:val="-5"/>
        </w:rPr>
        <w:t> </w:t>
      </w:r>
      <w:r>
        <w:rPr/>
        <w:t>supersedes</w:t>
      </w:r>
      <w:r>
        <w:rPr>
          <w:spacing w:val="-2"/>
        </w:rPr>
        <w:t> </w:t>
      </w:r>
      <w:r>
        <w:rPr/>
        <w:t>Notice</w:t>
      </w:r>
      <w:r>
        <w:rPr>
          <w:spacing w:val="-5"/>
        </w:rPr>
        <w:t> </w:t>
      </w:r>
      <w:r>
        <w:rPr/>
        <w:t>PIH-2019-11(HA)</w:t>
      </w:r>
      <w:r>
        <w:rPr>
          <w:spacing w:val="-3"/>
        </w:rPr>
        <w:t> </w:t>
      </w:r>
      <w:r>
        <w:rPr/>
        <w:t>dated</w:t>
      </w:r>
      <w:r>
        <w:rPr>
          <w:spacing w:val="-4"/>
        </w:rPr>
        <w:t> </w:t>
      </w:r>
      <w:r>
        <w:rPr/>
        <w:t>May</w:t>
      </w:r>
      <w:r>
        <w:rPr>
          <w:spacing w:val="-4"/>
        </w:rPr>
        <w:t> </w:t>
      </w:r>
      <w:r>
        <w:rPr/>
        <w:t>3,</w:t>
      </w:r>
      <w:r>
        <w:rPr>
          <w:spacing w:val="-4"/>
        </w:rPr>
        <w:t> </w:t>
      </w:r>
      <w:r>
        <w:rPr/>
        <w:t>2019.</w:t>
      </w:r>
      <w:r>
        <w:rPr>
          <w:spacing w:val="-2"/>
        </w:rPr>
        <w:t> </w:t>
      </w:r>
      <w:r>
        <w:rPr/>
        <w:t>It</w:t>
      </w:r>
      <w:r>
        <w:rPr>
          <w:spacing w:val="-4"/>
        </w:rPr>
        <w:t> </w:t>
      </w:r>
      <w:r>
        <w:rPr/>
        <w:t>provides</w:t>
      </w:r>
      <w:r>
        <w:rPr>
          <w:spacing w:val="-4"/>
        </w:rPr>
        <w:t> </w:t>
      </w:r>
      <w:r>
        <w:rPr/>
        <w:t>guidance</w:t>
      </w:r>
      <w:r>
        <w:rPr>
          <w:spacing w:val="-5"/>
        </w:rPr>
        <w:t> </w:t>
      </w:r>
      <w:r>
        <w:rPr/>
        <w:t>to Public Housing Agencies (PHAs) regarding the new limitations on continued occupancy in public housing for over-income families, as defined in the Housing Opportunity Through Modernization Act of 2016 (HOTMA) (Pub. L. 114-201, 130 Stat. 782). The final rule was published in the Federal Register (88 FR 9600) on February 14, 2023.</w:t>
      </w:r>
    </w:p>
    <w:p>
      <w:pPr>
        <w:pStyle w:val="BodyText"/>
      </w:pPr>
    </w:p>
    <w:p>
      <w:pPr>
        <w:pStyle w:val="BodyText"/>
        <w:ind w:left="120" w:right="1204"/>
      </w:pPr>
      <w:r>
        <w:rPr/>
        <w:t>This notice restates the instructions on how a PHA must calculate the over-income limit (OI limit) for a family in the public housing program while providing new guidance on setting rents for over-income families allowed by PHA policy to remain in a public housing unit. This notice also</w:t>
      </w:r>
      <w:r>
        <w:rPr>
          <w:spacing w:val="-2"/>
        </w:rPr>
        <w:t> </w:t>
      </w:r>
      <w:r>
        <w:rPr/>
        <w:t>addresses</w:t>
      </w:r>
      <w:r>
        <w:rPr>
          <w:spacing w:val="-2"/>
        </w:rPr>
        <w:t> </w:t>
      </w:r>
      <w:r>
        <w:rPr/>
        <w:t>the</w:t>
      </w:r>
      <w:r>
        <w:rPr>
          <w:spacing w:val="-3"/>
        </w:rPr>
        <w:t> </w:t>
      </w:r>
      <w:r>
        <w:rPr/>
        <w:t>effective</w:t>
      </w:r>
      <w:r>
        <w:rPr>
          <w:spacing w:val="-3"/>
        </w:rPr>
        <w:t> </w:t>
      </w:r>
      <w:r>
        <w:rPr/>
        <w:t>dates</w:t>
      </w:r>
      <w:r>
        <w:rPr>
          <w:spacing w:val="-2"/>
        </w:rPr>
        <w:t> </w:t>
      </w:r>
      <w:r>
        <w:rPr/>
        <w:t>in</w:t>
      </w:r>
      <w:r>
        <w:rPr>
          <w:spacing w:val="-2"/>
        </w:rPr>
        <w:t> </w:t>
      </w:r>
      <w:r>
        <w:rPr/>
        <w:t>the</w:t>
      </w:r>
      <w:r>
        <w:rPr>
          <w:spacing w:val="-3"/>
        </w:rPr>
        <w:t> </w:t>
      </w:r>
      <w:r>
        <w:rPr/>
        <w:t>final</w:t>
      </w:r>
      <w:r>
        <w:rPr>
          <w:spacing w:val="-2"/>
        </w:rPr>
        <w:t> </w:t>
      </w:r>
      <w:r>
        <w:rPr/>
        <w:t>rule</w:t>
      </w:r>
      <w:r>
        <w:rPr>
          <w:spacing w:val="-1"/>
        </w:rPr>
        <w:t> </w:t>
      </w:r>
      <w:r>
        <w:rPr/>
        <w:t>and</w:t>
      </w:r>
      <w:r>
        <w:rPr>
          <w:spacing w:val="-2"/>
        </w:rPr>
        <w:t> </w:t>
      </w:r>
      <w:r>
        <w:rPr/>
        <w:t>what</w:t>
      </w:r>
      <w:r>
        <w:rPr>
          <w:spacing w:val="-2"/>
        </w:rPr>
        <w:t> </w:t>
      </w:r>
      <w:r>
        <w:rPr/>
        <w:t>it</w:t>
      </w:r>
      <w:r>
        <w:rPr>
          <w:spacing w:val="-2"/>
        </w:rPr>
        <w:t> </w:t>
      </w:r>
      <w:r>
        <w:rPr/>
        <w:t>means</w:t>
      </w:r>
      <w:r>
        <w:rPr>
          <w:spacing w:val="-2"/>
        </w:rPr>
        <w:t> </w:t>
      </w:r>
      <w:r>
        <w:rPr/>
        <w:t>for</w:t>
      </w:r>
      <w:r>
        <w:rPr>
          <w:spacing w:val="-1"/>
        </w:rPr>
        <w:t> </w:t>
      </w:r>
      <w:r>
        <w:rPr/>
        <w:t>families</w:t>
      </w:r>
      <w:r>
        <w:rPr>
          <w:spacing w:val="-2"/>
        </w:rPr>
        <w:t> </w:t>
      </w:r>
      <w:r>
        <w:rPr/>
        <w:t>determined</w:t>
      </w:r>
      <w:r>
        <w:rPr>
          <w:spacing w:val="-2"/>
        </w:rPr>
        <w:t> </w:t>
      </w:r>
      <w:r>
        <w:rPr/>
        <w:t>to</w:t>
      </w:r>
      <w:r>
        <w:rPr>
          <w:spacing w:val="-2"/>
        </w:rPr>
        <w:t> </w:t>
      </w:r>
      <w:r>
        <w:rPr/>
        <w:t>be over-income prior to the final rule. Lastly, this notice describes the requirement to submit annual reports on the number of over-income families residing in public housing and on the number of families on PHA waiting lists for public housing projects.</w:t>
      </w:r>
    </w:p>
    <w:p>
      <w:pPr>
        <w:pStyle w:val="BodyText"/>
        <w:spacing w:before="10"/>
        <w:rPr>
          <w:sz w:val="20"/>
        </w:rPr>
      </w:pPr>
    </w:p>
    <w:p>
      <w:pPr>
        <w:pStyle w:val="Heading2"/>
        <w:numPr>
          <w:ilvl w:val="0"/>
          <w:numId w:val="2"/>
        </w:numPr>
        <w:tabs>
          <w:tab w:pos="840" w:val="left" w:leader="none"/>
        </w:tabs>
        <w:spacing w:line="240" w:lineRule="auto" w:before="0" w:after="0"/>
        <w:ind w:left="840" w:right="0" w:hanging="360"/>
        <w:jc w:val="left"/>
      </w:pPr>
      <w:bookmarkStart w:name="2. Background" w:id="3"/>
      <w:bookmarkEnd w:id="3"/>
      <w:r>
        <w:rPr>
          <w:b w:val="0"/>
        </w:rPr>
      </w:r>
      <w:bookmarkStart w:name="_bookmark1" w:id="4"/>
      <w:bookmarkEnd w:id="4"/>
      <w:r>
        <w:rPr>
          <w:spacing w:val="-2"/>
        </w:rPr>
        <w:t>Ba</w:t>
      </w:r>
      <w:r>
        <w:rPr>
          <w:spacing w:val="-2"/>
        </w:rPr>
        <w:t>ckground</w:t>
      </w:r>
    </w:p>
    <w:p>
      <w:pPr>
        <w:pStyle w:val="BodyText"/>
        <w:spacing w:before="22"/>
        <w:ind w:left="120" w:right="1204"/>
      </w:pPr>
      <w:r>
        <w:rPr/>
        <w:t>HOTMA</w:t>
      </w:r>
      <w:r>
        <w:rPr>
          <w:spacing w:val="-1"/>
        </w:rPr>
        <w:t> </w:t>
      </w:r>
      <w:r>
        <w:rPr/>
        <w:t>was signed into law</w:t>
      </w:r>
      <w:r>
        <w:rPr>
          <w:spacing w:val="-1"/>
        </w:rPr>
        <w:t> </w:t>
      </w:r>
      <w:r>
        <w:rPr/>
        <w:t>on July 29, 2016. Section 103 of</w:t>
      </w:r>
      <w:r>
        <w:rPr>
          <w:spacing w:val="-1"/>
        </w:rPr>
        <w:t> </w:t>
      </w:r>
      <w:r>
        <w:rPr/>
        <w:t>HOTMA</w:t>
      </w:r>
      <w:r>
        <w:rPr>
          <w:spacing w:val="-1"/>
        </w:rPr>
        <w:t> </w:t>
      </w:r>
      <w:r>
        <w:rPr/>
        <w:t>amends section 16(a)</w:t>
      </w:r>
      <w:r>
        <w:rPr>
          <w:spacing w:val="-1"/>
        </w:rPr>
        <w:t> </w:t>
      </w:r>
      <w:r>
        <w:rPr/>
        <w:t>of the United States Housing Act of 1937 (42 U.S.C. 1437n(a)) (1937 Act) and establishes an income limitation for continued occupancy in public housing. The statute requires that after a family’</w:t>
      </w:r>
      <w:bookmarkStart w:name="_bookmark2" w:id="5"/>
      <w:bookmarkEnd w:id="5"/>
      <w:r>
        <w:rPr/>
        <w:t>s</w:t>
      </w:r>
      <w:r>
        <w:rPr/>
        <w:t> income</w:t>
      </w:r>
      <w:r>
        <w:rPr>
          <w:spacing w:val="-2"/>
        </w:rPr>
        <w:t> </w:t>
      </w:r>
      <w:r>
        <w:rPr/>
        <w:t>has exceeded the</w:t>
      </w:r>
      <w:r>
        <w:rPr>
          <w:spacing w:val="-1"/>
        </w:rPr>
        <w:t> </w:t>
      </w:r>
      <w:r>
        <w:rPr/>
        <w:t>over-income</w:t>
      </w:r>
      <w:r>
        <w:rPr>
          <w:spacing w:val="-2"/>
        </w:rPr>
        <w:t> </w:t>
      </w:r>
      <w:r>
        <w:rPr/>
        <w:t>limit for</w:t>
      </w:r>
      <w:r>
        <w:rPr>
          <w:spacing w:val="-1"/>
        </w:rPr>
        <w:t> </w:t>
      </w:r>
      <w:r>
        <w:rPr/>
        <w:t>two consecutive</w:t>
      </w:r>
      <w:r>
        <w:rPr>
          <w:spacing w:val="-1"/>
        </w:rPr>
        <w:t> </w:t>
      </w:r>
      <w:r>
        <w:rPr/>
        <w:t>years or</w:t>
      </w:r>
      <w:r>
        <w:rPr>
          <w:spacing w:val="-1"/>
        </w:rPr>
        <w:t> </w:t>
      </w:r>
      <w:r>
        <w:rPr/>
        <w:t>24 consecutive months</w:t>
      </w:r>
      <w:hyperlink w:history="true" w:anchor="_bookmark5">
        <w:r>
          <w:rPr>
            <w:vertAlign w:val="superscript"/>
          </w:rPr>
          <w:t>1</w:t>
        </w:r>
      </w:hyperlink>
      <w:r>
        <w:rPr>
          <w:vertAlign w:val="baseline"/>
        </w:rPr>
        <w:t> (the “grace period”), a PHA must either terminate the family’s tenancy within six months or charge the family the alternative non-public housing rent (alternative rent). The alternative rent must equal the greater of: (1) the applicable Fair Market Rent (FMR); or (2) the amount</w:t>
      </w:r>
      <w:r>
        <w:rPr>
          <w:spacing w:val="-3"/>
          <w:vertAlign w:val="baseline"/>
        </w:rPr>
        <w:t> </w:t>
      </w:r>
      <w:r>
        <w:rPr>
          <w:vertAlign w:val="baseline"/>
        </w:rPr>
        <w:t>of</w:t>
      </w:r>
      <w:r>
        <w:rPr>
          <w:spacing w:val="-4"/>
          <w:vertAlign w:val="baseline"/>
        </w:rPr>
        <w:t> </w:t>
      </w:r>
      <w:r>
        <w:rPr>
          <w:vertAlign w:val="baseline"/>
        </w:rPr>
        <w:t>monthly</w:t>
      </w:r>
      <w:r>
        <w:rPr>
          <w:spacing w:val="-3"/>
          <w:vertAlign w:val="baseline"/>
        </w:rPr>
        <w:t> </w:t>
      </w:r>
      <w:r>
        <w:rPr>
          <w:vertAlign w:val="baseline"/>
        </w:rPr>
        <w:t>subsidy</w:t>
      </w:r>
      <w:r>
        <w:rPr>
          <w:spacing w:val="-3"/>
          <w:vertAlign w:val="baseline"/>
        </w:rPr>
        <w:t> </w:t>
      </w:r>
      <w:r>
        <w:rPr>
          <w:vertAlign w:val="baseline"/>
        </w:rPr>
        <w:t>provided</w:t>
      </w:r>
      <w:r>
        <w:rPr>
          <w:spacing w:val="-3"/>
          <w:vertAlign w:val="baseline"/>
        </w:rPr>
        <w:t> </w:t>
      </w:r>
      <w:r>
        <w:rPr>
          <w:vertAlign w:val="baseline"/>
        </w:rPr>
        <w:t>for</w:t>
      </w:r>
      <w:r>
        <w:rPr>
          <w:spacing w:val="-4"/>
          <w:vertAlign w:val="baseline"/>
        </w:rPr>
        <w:t> </w:t>
      </w:r>
      <w:r>
        <w:rPr>
          <w:vertAlign w:val="baseline"/>
        </w:rPr>
        <w:t>the</w:t>
      </w:r>
      <w:r>
        <w:rPr>
          <w:spacing w:val="-4"/>
          <w:vertAlign w:val="baseline"/>
        </w:rPr>
        <w:t> </w:t>
      </w:r>
      <w:r>
        <w:rPr>
          <w:vertAlign w:val="baseline"/>
        </w:rPr>
        <w:t>unit.</w:t>
      </w:r>
      <w:r>
        <w:rPr>
          <w:spacing w:val="-1"/>
          <w:vertAlign w:val="baseline"/>
        </w:rPr>
        <w:t> </w:t>
      </w:r>
      <w:r>
        <w:rPr>
          <w:vertAlign w:val="baseline"/>
        </w:rPr>
        <w:t>The</w:t>
      </w:r>
      <w:r>
        <w:rPr>
          <w:spacing w:val="-5"/>
          <w:vertAlign w:val="baseline"/>
        </w:rPr>
        <w:t> </w:t>
      </w:r>
      <w:r>
        <w:rPr>
          <w:vertAlign w:val="baseline"/>
        </w:rPr>
        <w:t>per</w:t>
      </w:r>
      <w:r>
        <w:rPr>
          <w:spacing w:val="-4"/>
          <w:vertAlign w:val="baseline"/>
        </w:rPr>
        <w:t> </w:t>
      </w:r>
      <w:r>
        <w:rPr>
          <w:vertAlign w:val="baseline"/>
        </w:rPr>
        <w:t>unit</w:t>
      </w:r>
      <w:r>
        <w:rPr>
          <w:spacing w:val="-3"/>
          <w:vertAlign w:val="baseline"/>
        </w:rPr>
        <w:t> </w:t>
      </w:r>
      <w:r>
        <w:rPr>
          <w:vertAlign w:val="baseline"/>
        </w:rPr>
        <w:t>monthly</w:t>
      </w:r>
      <w:r>
        <w:rPr>
          <w:spacing w:val="-3"/>
          <w:vertAlign w:val="baseline"/>
        </w:rPr>
        <w:t> </w:t>
      </w:r>
      <w:r>
        <w:rPr>
          <w:vertAlign w:val="baseline"/>
        </w:rPr>
        <w:t>subsidy</w:t>
      </w:r>
      <w:r>
        <w:rPr>
          <w:spacing w:val="-3"/>
          <w:vertAlign w:val="baseline"/>
        </w:rPr>
        <w:t> </w:t>
      </w:r>
      <w:r>
        <w:rPr>
          <w:vertAlign w:val="baseline"/>
        </w:rPr>
        <w:t>includes</w:t>
      </w:r>
      <w:r>
        <w:rPr>
          <w:spacing w:val="-3"/>
          <w:vertAlign w:val="baseline"/>
        </w:rPr>
        <w:t> </w:t>
      </w:r>
      <w:r>
        <w:rPr>
          <w:vertAlign w:val="baseline"/>
        </w:rPr>
        <w:t>amounts from the Operating and Capital Funds, as defined by the new regulations at 24 CFR 960.102.</w:t>
      </w:r>
    </w:p>
    <w:p>
      <w:pPr>
        <w:pStyle w:val="BodyText"/>
      </w:pPr>
    </w:p>
    <w:p>
      <w:pPr>
        <w:pStyle w:val="BodyText"/>
        <w:ind w:left="120" w:right="1482"/>
      </w:pPr>
      <w:r>
        <w:rPr/>
        <w:t>Section</w:t>
      </w:r>
      <w:r>
        <w:rPr>
          <w:spacing w:val="-3"/>
        </w:rPr>
        <w:t> </w:t>
      </w:r>
      <w:r>
        <w:rPr/>
        <w:t>103</w:t>
      </w:r>
      <w:r>
        <w:rPr>
          <w:spacing w:val="-3"/>
        </w:rPr>
        <w:t> </w:t>
      </w:r>
      <w:r>
        <w:rPr/>
        <w:t>of</w:t>
      </w:r>
      <w:r>
        <w:rPr>
          <w:spacing w:val="-4"/>
        </w:rPr>
        <w:t> </w:t>
      </w:r>
      <w:r>
        <w:rPr/>
        <w:t>HOTMA</w:t>
      </w:r>
      <w:r>
        <w:rPr>
          <w:spacing w:val="-3"/>
        </w:rPr>
        <w:t> </w:t>
      </w:r>
      <w:r>
        <w:rPr/>
        <w:t>was</w:t>
      </w:r>
      <w:r>
        <w:rPr>
          <w:spacing w:val="-3"/>
        </w:rPr>
        <w:t> </w:t>
      </w:r>
      <w:r>
        <w:rPr/>
        <w:t>partiall</w:t>
      </w:r>
      <w:bookmarkStart w:name="_bookmark3" w:id="6"/>
      <w:bookmarkEnd w:id="6"/>
      <w:r>
        <w:rPr/>
        <w:t>y</w:t>
      </w:r>
      <w:r>
        <w:rPr>
          <w:spacing w:val="-3"/>
        </w:rPr>
        <w:t> </w:t>
      </w:r>
      <w:r>
        <w:rPr/>
        <w:t>implemented</w:t>
      </w:r>
      <w:r>
        <w:rPr>
          <w:spacing w:val="-3"/>
        </w:rPr>
        <w:t> </w:t>
      </w:r>
      <w:r>
        <w:rPr/>
        <w:t>by</w:t>
      </w:r>
      <w:r>
        <w:rPr>
          <w:spacing w:val="-3"/>
        </w:rPr>
        <w:t> </w:t>
      </w:r>
      <w:r>
        <w:rPr/>
        <w:t>the</w:t>
      </w:r>
      <w:r>
        <w:rPr>
          <w:spacing w:val="-4"/>
        </w:rPr>
        <w:t> </w:t>
      </w:r>
      <w:r>
        <w:rPr/>
        <w:t>U.S.</w:t>
      </w:r>
      <w:r>
        <w:rPr>
          <w:spacing w:val="-3"/>
        </w:rPr>
        <w:t> </w:t>
      </w:r>
      <w:r>
        <w:rPr/>
        <w:t>Department</w:t>
      </w:r>
      <w:r>
        <w:rPr>
          <w:spacing w:val="-2"/>
        </w:rPr>
        <w:t> </w:t>
      </w:r>
      <w:r>
        <w:rPr/>
        <w:t>of</w:t>
      </w:r>
      <w:r>
        <w:rPr>
          <w:spacing w:val="-4"/>
        </w:rPr>
        <w:t> </w:t>
      </w:r>
      <w:r>
        <w:rPr/>
        <w:t>Housing</w:t>
      </w:r>
      <w:r>
        <w:rPr>
          <w:spacing w:val="-3"/>
        </w:rPr>
        <w:t> </w:t>
      </w:r>
      <w:r>
        <w:rPr/>
        <w:t>and Urban Devel</w:t>
      </w:r>
      <w:bookmarkStart w:name="_bookmark4" w:id="7"/>
      <w:bookmarkEnd w:id="7"/>
      <w:r>
        <w:rPr/>
        <w:t>opm</w:t>
      </w:r>
      <w:r>
        <w:rPr/>
        <w:t>ent (HUD) in 2018,</w:t>
      </w:r>
      <w:hyperlink w:history="true" w:anchor="_bookmark6">
        <w:r>
          <w:rPr>
            <w:vertAlign w:val="superscript"/>
          </w:rPr>
          <w:t>2</w:t>
        </w:r>
      </w:hyperlink>
      <w:r>
        <w:rPr>
          <w:vertAlign w:val="baseline"/>
        </w:rPr>
        <w:t> however, there were several delays in the full implementation.</w:t>
      </w:r>
      <w:hyperlink w:history="true" w:anchor="_bookmark7">
        <w:r>
          <w:rPr>
            <w:vertAlign w:val="superscript"/>
          </w:rPr>
          <w:t>3</w:t>
        </w:r>
      </w:hyperlink>
      <w:r>
        <w:rPr>
          <w:vertAlign w:val="baseline"/>
        </w:rPr>
        <w:t> As a result, guidance provided for the implementation of Section 103 of HOTMA is extensive and is anticipated to continue over the next several years. Below is a consolidated list of HUD’s Section 103 implementation and guidance documents to date:</w:t>
      </w:r>
    </w:p>
    <w:p>
      <w:pPr>
        <w:pStyle w:val="BodyText"/>
      </w:pPr>
    </w:p>
    <w:p>
      <w:pPr>
        <w:pStyle w:val="ListParagraph"/>
        <w:numPr>
          <w:ilvl w:val="1"/>
          <w:numId w:val="2"/>
        </w:numPr>
        <w:tabs>
          <w:tab w:pos="840" w:val="left" w:leader="none"/>
        </w:tabs>
        <w:spacing w:line="240" w:lineRule="auto" w:before="0" w:after="0"/>
        <w:ind w:left="840" w:right="1278" w:hanging="360"/>
        <w:jc w:val="left"/>
        <w:rPr>
          <w:sz w:val="24"/>
        </w:rPr>
      </w:pPr>
      <w:r>
        <w:rPr>
          <w:sz w:val="24"/>
        </w:rPr>
        <w:t>81</w:t>
      </w:r>
      <w:r>
        <w:rPr>
          <w:spacing w:val="-4"/>
          <w:sz w:val="24"/>
        </w:rPr>
        <w:t> </w:t>
      </w:r>
      <w:r>
        <w:rPr>
          <w:sz w:val="24"/>
        </w:rPr>
        <w:t>FR</w:t>
      </w:r>
      <w:r>
        <w:rPr>
          <w:spacing w:val="-4"/>
          <w:sz w:val="24"/>
        </w:rPr>
        <w:t> </w:t>
      </w:r>
      <w:r>
        <w:rPr>
          <w:sz w:val="24"/>
        </w:rPr>
        <w:t>85996</w:t>
      </w:r>
      <w:r>
        <w:rPr>
          <w:spacing w:val="-4"/>
          <w:sz w:val="24"/>
        </w:rPr>
        <w:t> </w:t>
      </w:r>
      <w:r>
        <w:rPr>
          <w:sz w:val="24"/>
        </w:rPr>
        <w:t>-</w:t>
      </w:r>
      <w:r>
        <w:rPr>
          <w:spacing w:val="-5"/>
          <w:sz w:val="24"/>
        </w:rPr>
        <w:t> </w:t>
      </w:r>
      <w:r>
        <w:rPr>
          <w:sz w:val="24"/>
        </w:rPr>
        <w:t>Housing</w:t>
      </w:r>
      <w:r>
        <w:rPr>
          <w:spacing w:val="-2"/>
          <w:sz w:val="24"/>
        </w:rPr>
        <w:t> </w:t>
      </w:r>
      <w:r>
        <w:rPr>
          <w:sz w:val="24"/>
        </w:rPr>
        <w:t>Opportunity</w:t>
      </w:r>
      <w:r>
        <w:rPr>
          <w:spacing w:val="-4"/>
          <w:sz w:val="24"/>
        </w:rPr>
        <w:t> </w:t>
      </w:r>
      <w:r>
        <w:rPr>
          <w:sz w:val="24"/>
        </w:rPr>
        <w:t>Through</w:t>
      </w:r>
      <w:r>
        <w:rPr>
          <w:spacing w:val="-4"/>
          <w:sz w:val="24"/>
        </w:rPr>
        <w:t> </w:t>
      </w:r>
      <w:r>
        <w:rPr>
          <w:sz w:val="24"/>
        </w:rPr>
        <w:t>Modernization</w:t>
      </w:r>
      <w:r>
        <w:rPr>
          <w:spacing w:val="-4"/>
          <w:sz w:val="24"/>
        </w:rPr>
        <w:t> </w:t>
      </w:r>
      <w:r>
        <w:rPr>
          <w:sz w:val="24"/>
        </w:rPr>
        <w:t>Act</w:t>
      </w:r>
      <w:r>
        <w:rPr>
          <w:spacing w:val="-4"/>
          <w:sz w:val="24"/>
        </w:rPr>
        <w:t> </w:t>
      </w:r>
      <w:r>
        <w:rPr>
          <w:sz w:val="24"/>
        </w:rPr>
        <w:t>of</w:t>
      </w:r>
      <w:r>
        <w:rPr>
          <w:spacing w:val="-5"/>
          <w:sz w:val="24"/>
        </w:rPr>
        <w:t> </w:t>
      </w:r>
      <w:r>
        <w:rPr>
          <w:sz w:val="24"/>
        </w:rPr>
        <w:t>2016:</w:t>
      </w:r>
      <w:r>
        <w:rPr>
          <w:spacing w:val="-4"/>
          <w:sz w:val="24"/>
        </w:rPr>
        <w:t> </w:t>
      </w:r>
      <w:r>
        <w:rPr>
          <w:sz w:val="24"/>
        </w:rPr>
        <w:t>Solicitation</w:t>
      </w:r>
      <w:r>
        <w:rPr>
          <w:spacing w:val="-4"/>
          <w:sz w:val="24"/>
        </w:rPr>
        <w:t> </w:t>
      </w:r>
      <w:r>
        <w:rPr>
          <w:sz w:val="24"/>
        </w:rPr>
        <w:t>of Comments on Implementation of Public Housing Income Limit (November 29, 2016).</w:t>
      </w:r>
    </w:p>
    <w:p>
      <w:pPr>
        <w:pStyle w:val="ListParagraph"/>
        <w:numPr>
          <w:ilvl w:val="2"/>
          <w:numId w:val="2"/>
        </w:numPr>
        <w:tabs>
          <w:tab w:pos="1559" w:val="left" w:leader="none"/>
          <w:tab w:pos="1560" w:val="left" w:leader="none"/>
        </w:tabs>
        <w:spacing w:line="240" w:lineRule="auto" w:before="0" w:after="0"/>
        <w:ind w:left="1560" w:right="1338" w:hanging="360"/>
        <w:jc w:val="left"/>
        <w:rPr>
          <w:sz w:val="24"/>
        </w:rPr>
      </w:pPr>
      <w:r>
        <w:rPr>
          <w:sz w:val="24"/>
        </w:rPr>
        <w:t>This</w:t>
      </w:r>
      <w:r>
        <w:rPr>
          <w:spacing w:val="-3"/>
          <w:sz w:val="24"/>
        </w:rPr>
        <w:t> </w:t>
      </w:r>
      <w:r>
        <w:rPr>
          <w:sz w:val="24"/>
        </w:rPr>
        <w:t>notice</w:t>
      </w:r>
      <w:r>
        <w:rPr>
          <w:spacing w:val="-4"/>
          <w:sz w:val="24"/>
        </w:rPr>
        <w:t> </w:t>
      </w:r>
      <w:r>
        <w:rPr>
          <w:sz w:val="24"/>
        </w:rPr>
        <w:t>solicited</w:t>
      </w:r>
      <w:r>
        <w:rPr>
          <w:spacing w:val="-3"/>
          <w:sz w:val="24"/>
        </w:rPr>
        <w:t> </w:t>
      </w:r>
      <w:r>
        <w:rPr>
          <w:sz w:val="24"/>
        </w:rPr>
        <w:t>public</w:t>
      </w:r>
      <w:r>
        <w:rPr>
          <w:spacing w:val="-4"/>
          <w:sz w:val="24"/>
        </w:rPr>
        <w:t> </w:t>
      </w:r>
      <w:r>
        <w:rPr>
          <w:sz w:val="24"/>
        </w:rPr>
        <w:t>comment</w:t>
      </w:r>
      <w:r>
        <w:rPr>
          <w:spacing w:val="-3"/>
          <w:sz w:val="24"/>
        </w:rPr>
        <w:t> </w:t>
      </w:r>
      <w:r>
        <w:rPr>
          <w:sz w:val="24"/>
        </w:rPr>
        <w:t>on</w:t>
      </w:r>
      <w:r>
        <w:rPr>
          <w:spacing w:val="-3"/>
          <w:sz w:val="24"/>
        </w:rPr>
        <w:t> </w:t>
      </w:r>
      <w:r>
        <w:rPr>
          <w:sz w:val="24"/>
        </w:rPr>
        <w:t>the</w:t>
      </w:r>
      <w:r>
        <w:rPr>
          <w:spacing w:val="-4"/>
          <w:sz w:val="24"/>
        </w:rPr>
        <w:t> </w:t>
      </w:r>
      <w:r>
        <w:rPr>
          <w:sz w:val="24"/>
        </w:rPr>
        <w:t>methodology</w:t>
      </w:r>
      <w:r>
        <w:rPr>
          <w:spacing w:val="-3"/>
          <w:sz w:val="24"/>
        </w:rPr>
        <w:t> </w:t>
      </w:r>
      <w:r>
        <w:rPr>
          <w:sz w:val="24"/>
        </w:rPr>
        <w:t>HUD</w:t>
      </w:r>
      <w:r>
        <w:rPr>
          <w:spacing w:val="-4"/>
          <w:sz w:val="24"/>
        </w:rPr>
        <w:t> </w:t>
      </w:r>
      <w:r>
        <w:rPr>
          <w:sz w:val="24"/>
        </w:rPr>
        <w:t>used</w:t>
      </w:r>
      <w:r>
        <w:rPr>
          <w:spacing w:val="-3"/>
          <w:sz w:val="24"/>
        </w:rPr>
        <w:t> </w:t>
      </w:r>
      <w:r>
        <w:rPr>
          <w:sz w:val="24"/>
        </w:rPr>
        <w:t>to</w:t>
      </w:r>
      <w:r>
        <w:rPr>
          <w:spacing w:val="-3"/>
          <w:sz w:val="24"/>
        </w:rPr>
        <w:t> </w:t>
      </w:r>
      <w:r>
        <w:rPr>
          <w:sz w:val="24"/>
        </w:rPr>
        <w:t>calculate the over-income limit. Specifically, comments were requested on whether the practice (multiplying the very low-income (VLI) limit by a factor of 2.4) adequately considered local housing costs and made appropriate adjustments to the over-income limit. This method to determine the over-income limit has been codified in the HOTMA final rule.</w:t>
      </w:r>
    </w:p>
    <w:p>
      <w:pPr>
        <w:pStyle w:val="BodyText"/>
        <w:rPr>
          <w:sz w:val="20"/>
        </w:rPr>
      </w:pPr>
    </w:p>
    <w:p>
      <w:pPr>
        <w:pStyle w:val="BodyText"/>
        <w:rPr>
          <w:sz w:val="20"/>
        </w:rPr>
      </w:pPr>
    </w:p>
    <w:p>
      <w:pPr>
        <w:pStyle w:val="BodyText"/>
        <w:spacing w:before="8"/>
        <w:rPr>
          <w:sz w:val="14"/>
        </w:rPr>
      </w:pPr>
      <w:r>
        <w:rPr/>
        <w:pict>
          <v:rect style="position:absolute;margin-left:72pt;margin-top:9.666299pt;width:144pt;height:.71pt;mso-position-horizontal-relative:page;mso-position-vertical-relative:paragraph;z-index:-15727616;mso-wrap-distance-left:0;mso-wrap-distance-right:0" id="docshape4" filled="true" fillcolor="#000000" stroked="false">
            <v:fill type="solid"/>
            <w10:wrap type="topAndBottom"/>
          </v:rect>
        </w:pict>
      </w:r>
    </w:p>
    <w:p>
      <w:pPr>
        <w:spacing w:before="101"/>
        <w:ind w:left="120" w:right="0" w:firstLine="0"/>
        <w:jc w:val="left"/>
        <w:rPr>
          <w:sz w:val="20"/>
        </w:rPr>
      </w:pPr>
      <w:hyperlink w:history="true" w:anchor="_bookmark2">
        <w:r>
          <w:rPr>
            <w:sz w:val="20"/>
            <w:vertAlign w:val="superscript"/>
          </w:rPr>
          <w:t>1</w:t>
        </w:r>
      </w:hyperlink>
      <w:r>
        <w:rPr>
          <w:spacing w:val="-3"/>
          <w:sz w:val="20"/>
          <w:vertAlign w:val="baseline"/>
        </w:rPr>
        <w:t> </w:t>
      </w:r>
      <w:bookmarkStart w:name="_bookmark5" w:id="8"/>
      <w:bookmarkEnd w:id="8"/>
      <w:r>
        <w:rPr>
          <w:sz w:val="20"/>
          <w:vertAlign w:val="baseline"/>
        </w:rPr>
      </w:r>
      <w:bookmarkStart w:name="_bookmark6" w:id="9"/>
      <w:bookmarkEnd w:id="9"/>
      <w:r>
        <w:rPr>
          <w:sz w:val="20"/>
          <w:vertAlign w:val="baseline"/>
        </w:rPr>
        <w:t>2</w:t>
      </w:r>
      <w:r>
        <w:rPr>
          <w:sz w:val="20"/>
          <w:vertAlign w:val="baseline"/>
        </w:rPr>
        <w:t>4</w:t>
      </w:r>
      <w:r>
        <w:rPr>
          <w:spacing w:val="-1"/>
          <w:sz w:val="20"/>
          <w:vertAlign w:val="baseline"/>
        </w:rPr>
        <w:t> </w:t>
      </w:r>
      <w:r>
        <w:rPr>
          <w:sz w:val="20"/>
          <w:vertAlign w:val="baseline"/>
        </w:rPr>
        <w:t>CFR</w:t>
      </w:r>
      <w:r>
        <w:rPr>
          <w:spacing w:val="-4"/>
          <w:sz w:val="20"/>
          <w:vertAlign w:val="baseline"/>
        </w:rPr>
        <w:t> </w:t>
      </w:r>
      <w:r>
        <w:rPr>
          <w:spacing w:val="-2"/>
          <w:sz w:val="20"/>
          <w:vertAlign w:val="baseline"/>
        </w:rPr>
        <w:t>960.507(a)</w:t>
      </w:r>
    </w:p>
    <w:p>
      <w:pPr>
        <w:spacing w:line="229" w:lineRule="exact" w:before="0"/>
        <w:ind w:left="120" w:right="0" w:firstLine="0"/>
        <w:jc w:val="left"/>
        <w:rPr>
          <w:sz w:val="20"/>
        </w:rPr>
      </w:pPr>
      <w:hyperlink w:history="true" w:anchor="_bookmark3">
        <w:r>
          <w:rPr>
            <w:sz w:val="20"/>
            <w:vertAlign w:val="superscript"/>
          </w:rPr>
          <w:t>2</w:t>
        </w:r>
      </w:hyperlink>
      <w:r>
        <w:rPr>
          <w:spacing w:val="-2"/>
          <w:sz w:val="20"/>
          <w:vertAlign w:val="baseline"/>
        </w:rPr>
        <w:t> </w:t>
      </w:r>
      <w:bookmarkStart w:name="_bookmark7" w:id="10"/>
      <w:bookmarkEnd w:id="10"/>
      <w:r>
        <w:rPr>
          <w:sz w:val="20"/>
          <w:vertAlign w:val="baseline"/>
        </w:rPr>
        <w:t>8</w:t>
      </w:r>
      <w:r>
        <w:rPr>
          <w:sz w:val="20"/>
          <w:vertAlign w:val="baseline"/>
        </w:rPr>
        <w:t>3</w:t>
      </w:r>
      <w:r>
        <w:rPr>
          <w:spacing w:val="-1"/>
          <w:sz w:val="20"/>
          <w:vertAlign w:val="baseline"/>
        </w:rPr>
        <w:t> </w:t>
      </w:r>
      <w:r>
        <w:rPr>
          <w:sz w:val="20"/>
          <w:vertAlign w:val="baseline"/>
        </w:rPr>
        <w:t>FR</w:t>
      </w:r>
      <w:r>
        <w:rPr>
          <w:spacing w:val="-3"/>
          <w:sz w:val="20"/>
          <w:vertAlign w:val="baseline"/>
        </w:rPr>
        <w:t> </w:t>
      </w:r>
      <w:r>
        <w:rPr>
          <w:spacing w:val="-2"/>
          <w:sz w:val="20"/>
          <w:vertAlign w:val="baseline"/>
        </w:rPr>
        <w:t>35490</w:t>
      </w:r>
    </w:p>
    <w:p>
      <w:pPr>
        <w:spacing w:before="0"/>
        <w:ind w:left="120" w:right="1204" w:firstLine="0"/>
        <w:jc w:val="left"/>
        <w:rPr>
          <w:sz w:val="20"/>
        </w:rPr>
      </w:pPr>
      <w:hyperlink w:history="true" w:anchor="_bookmark4">
        <w:r>
          <w:rPr>
            <w:sz w:val="20"/>
            <w:vertAlign w:val="superscript"/>
          </w:rPr>
          <w:t>3</w:t>
        </w:r>
      </w:hyperlink>
      <w:r>
        <w:rPr>
          <w:spacing w:val="-3"/>
          <w:sz w:val="20"/>
          <w:vertAlign w:val="baseline"/>
        </w:rPr>
        <w:t> </w:t>
      </w:r>
      <w:r>
        <w:rPr>
          <w:sz w:val="20"/>
          <w:vertAlign w:val="baseline"/>
        </w:rPr>
        <w:t>Due</w:t>
      </w:r>
      <w:r>
        <w:rPr>
          <w:spacing w:val="-3"/>
          <w:sz w:val="20"/>
          <w:vertAlign w:val="baseline"/>
        </w:rPr>
        <w:t> </w:t>
      </w:r>
      <w:r>
        <w:rPr>
          <w:sz w:val="20"/>
          <w:vertAlign w:val="baseline"/>
        </w:rPr>
        <w:t>to</w:t>
      </w:r>
      <w:r>
        <w:rPr>
          <w:spacing w:val="-2"/>
          <w:sz w:val="20"/>
          <w:vertAlign w:val="baseline"/>
        </w:rPr>
        <w:t> </w:t>
      </w:r>
      <w:r>
        <w:rPr>
          <w:sz w:val="20"/>
          <w:vertAlign w:val="baseline"/>
        </w:rPr>
        <w:t>the</w:t>
      </w:r>
      <w:r>
        <w:rPr>
          <w:spacing w:val="-5"/>
          <w:sz w:val="20"/>
          <w:vertAlign w:val="baseline"/>
        </w:rPr>
        <w:t> </w:t>
      </w:r>
      <w:r>
        <w:rPr>
          <w:sz w:val="20"/>
          <w:vertAlign w:val="baseline"/>
        </w:rPr>
        <w:t>unprecedented</w:t>
      </w:r>
      <w:r>
        <w:rPr>
          <w:spacing w:val="-2"/>
          <w:sz w:val="20"/>
          <w:vertAlign w:val="baseline"/>
        </w:rPr>
        <w:t> </w:t>
      </w:r>
      <w:r>
        <w:rPr>
          <w:sz w:val="20"/>
          <w:vertAlign w:val="baseline"/>
        </w:rPr>
        <w:t>challenge</w:t>
      </w:r>
      <w:r>
        <w:rPr>
          <w:spacing w:val="-3"/>
          <w:sz w:val="20"/>
          <w:vertAlign w:val="baseline"/>
        </w:rPr>
        <w:t> </w:t>
      </w:r>
      <w:r>
        <w:rPr>
          <w:sz w:val="20"/>
          <w:vertAlign w:val="baseline"/>
        </w:rPr>
        <w:t>of</w:t>
      </w:r>
      <w:r>
        <w:rPr>
          <w:spacing w:val="-2"/>
          <w:sz w:val="20"/>
          <w:vertAlign w:val="baseline"/>
        </w:rPr>
        <w:t> </w:t>
      </w:r>
      <w:r>
        <w:rPr>
          <w:sz w:val="20"/>
          <w:vertAlign w:val="baseline"/>
        </w:rPr>
        <w:t>the</w:t>
      </w:r>
      <w:r>
        <w:rPr>
          <w:spacing w:val="-5"/>
          <w:sz w:val="20"/>
          <w:vertAlign w:val="baseline"/>
        </w:rPr>
        <w:t> </w:t>
      </w:r>
      <w:r>
        <w:rPr>
          <w:sz w:val="20"/>
          <w:vertAlign w:val="baseline"/>
        </w:rPr>
        <w:t>COVID-19</w:t>
      </w:r>
      <w:r>
        <w:rPr>
          <w:spacing w:val="-2"/>
          <w:sz w:val="20"/>
          <w:vertAlign w:val="baseline"/>
        </w:rPr>
        <w:t> </w:t>
      </w:r>
      <w:r>
        <w:rPr>
          <w:sz w:val="20"/>
          <w:vertAlign w:val="baseline"/>
        </w:rPr>
        <w:t>pandemic</w:t>
      </w:r>
      <w:r>
        <w:rPr>
          <w:spacing w:val="-2"/>
          <w:sz w:val="20"/>
          <w:vertAlign w:val="baseline"/>
        </w:rPr>
        <w:t> </w:t>
      </w:r>
      <w:r>
        <w:rPr>
          <w:sz w:val="20"/>
          <w:vertAlign w:val="baseline"/>
        </w:rPr>
        <w:t>and</w:t>
      </w:r>
      <w:r>
        <w:rPr>
          <w:spacing w:val="-2"/>
          <w:sz w:val="20"/>
          <w:vertAlign w:val="baseline"/>
        </w:rPr>
        <w:t> </w:t>
      </w:r>
      <w:r>
        <w:rPr>
          <w:sz w:val="20"/>
          <w:vertAlign w:val="baseline"/>
        </w:rPr>
        <w:t>the</w:t>
      </w:r>
      <w:r>
        <w:rPr>
          <w:spacing w:val="-3"/>
          <w:sz w:val="20"/>
          <w:vertAlign w:val="baseline"/>
        </w:rPr>
        <w:t> </w:t>
      </w:r>
      <w:r>
        <w:rPr>
          <w:sz w:val="20"/>
          <w:vertAlign w:val="baseline"/>
        </w:rPr>
        <w:t>authority</w:t>
      </w:r>
      <w:r>
        <w:rPr>
          <w:spacing w:val="-2"/>
          <w:sz w:val="20"/>
          <w:vertAlign w:val="baseline"/>
        </w:rPr>
        <w:t> </w:t>
      </w:r>
      <w:r>
        <w:rPr>
          <w:sz w:val="20"/>
          <w:vertAlign w:val="baseline"/>
        </w:rPr>
        <w:t>provided</w:t>
      </w:r>
      <w:r>
        <w:rPr>
          <w:spacing w:val="-2"/>
          <w:sz w:val="20"/>
          <w:vertAlign w:val="baseline"/>
        </w:rPr>
        <w:t> </w:t>
      </w:r>
      <w:r>
        <w:rPr>
          <w:sz w:val="20"/>
          <w:vertAlign w:val="baseline"/>
        </w:rPr>
        <w:t>under</w:t>
      </w:r>
      <w:r>
        <w:rPr>
          <w:spacing w:val="-2"/>
          <w:sz w:val="20"/>
          <w:vertAlign w:val="baseline"/>
        </w:rPr>
        <w:t> </w:t>
      </w:r>
      <w:r>
        <w:rPr>
          <w:sz w:val="20"/>
          <w:vertAlign w:val="baseline"/>
        </w:rPr>
        <w:t>the</w:t>
      </w:r>
      <w:r>
        <w:rPr>
          <w:spacing w:val="-3"/>
          <w:sz w:val="20"/>
          <w:vertAlign w:val="baseline"/>
        </w:rPr>
        <w:t> </w:t>
      </w:r>
      <w:r>
        <w:rPr>
          <w:sz w:val="20"/>
          <w:vertAlign w:val="baseline"/>
        </w:rPr>
        <w:t>Coronavirus Aid, Relief and Economic Security (CARES) Act (Public Law 116-136), HUD elected to waive and establish alternative requirements for numerous statutory and regulatory requirements for the Public Housing program.</w:t>
      </w:r>
    </w:p>
    <w:p>
      <w:pPr>
        <w:spacing w:after="0"/>
        <w:jc w:val="left"/>
        <w:rPr>
          <w:sz w:val="20"/>
        </w:rPr>
        <w:sectPr>
          <w:footerReference w:type="default" r:id="rId7"/>
          <w:pgSz w:w="12240" w:h="15840"/>
          <w:pgMar w:footer="1033" w:header="0" w:top="1360" w:bottom="1220" w:left="1320" w:right="240"/>
          <w:pgNumType w:start="2"/>
        </w:sectPr>
      </w:pPr>
    </w:p>
    <w:p>
      <w:pPr>
        <w:pStyle w:val="ListParagraph"/>
        <w:numPr>
          <w:ilvl w:val="1"/>
          <w:numId w:val="2"/>
        </w:numPr>
        <w:tabs>
          <w:tab w:pos="840" w:val="left" w:leader="none"/>
        </w:tabs>
        <w:spacing w:line="240" w:lineRule="auto" w:before="79" w:after="0"/>
        <w:ind w:left="840" w:right="1807" w:hanging="360"/>
        <w:jc w:val="left"/>
        <w:rPr>
          <w:sz w:val="24"/>
        </w:rPr>
      </w:pPr>
      <w:r>
        <w:rPr>
          <w:sz w:val="24"/>
        </w:rPr>
        <w:t>83 FR 35490 - Housing Opportunity Through Modernization Act of 2016: Final Implementation</w:t>
      </w:r>
      <w:r>
        <w:rPr>
          <w:spacing w:val="-4"/>
          <w:sz w:val="24"/>
        </w:rPr>
        <w:t> </w:t>
      </w:r>
      <w:r>
        <w:rPr>
          <w:sz w:val="24"/>
        </w:rPr>
        <w:t>of</w:t>
      </w:r>
      <w:r>
        <w:rPr>
          <w:spacing w:val="-5"/>
          <w:sz w:val="24"/>
        </w:rPr>
        <w:t> </w:t>
      </w:r>
      <w:r>
        <w:rPr>
          <w:sz w:val="24"/>
        </w:rPr>
        <w:t>Public</w:t>
      </w:r>
      <w:r>
        <w:rPr>
          <w:spacing w:val="-5"/>
          <w:sz w:val="24"/>
        </w:rPr>
        <w:t> </w:t>
      </w:r>
      <w:r>
        <w:rPr>
          <w:sz w:val="24"/>
        </w:rPr>
        <w:t>Housing</w:t>
      </w:r>
      <w:r>
        <w:rPr>
          <w:spacing w:val="-4"/>
          <w:sz w:val="24"/>
        </w:rPr>
        <w:t> </w:t>
      </w:r>
      <w:r>
        <w:rPr>
          <w:sz w:val="24"/>
        </w:rPr>
        <w:t>Income</w:t>
      </w:r>
      <w:r>
        <w:rPr>
          <w:spacing w:val="-6"/>
          <w:sz w:val="24"/>
        </w:rPr>
        <w:t> </w:t>
      </w:r>
      <w:r>
        <w:rPr>
          <w:sz w:val="24"/>
        </w:rPr>
        <w:t>Limit</w:t>
      </w:r>
      <w:r>
        <w:rPr>
          <w:spacing w:val="-4"/>
          <w:sz w:val="24"/>
        </w:rPr>
        <w:t> </w:t>
      </w:r>
      <w:r>
        <w:rPr>
          <w:sz w:val="24"/>
        </w:rPr>
        <w:t>(July</w:t>
      </w:r>
      <w:r>
        <w:rPr>
          <w:spacing w:val="-4"/>
          <w:sz w:val="24"/>
        </w:rPr>
        <w:t> </w:t>
      </w:r>
      <w:r>
        <w:rPr>
          <w:sz w:val="24"/>
        </w:rPr>
        <w:t>26,</w:t>
      </w:r>
      <w:r>
        <w:rPr>
          <w:spacing w:val="-4"/>
          <w:sz w:val="24"/>
        </w:rPr>
        <w:t> </w:t>
      </w:r>
      <w:r>
        <w:rPr>
          <w:sz w:val="24"/>
        </w:rPr>
        <w:t>2018).</w:t>
      </w:r>
      <w:r>
        <w:rPr>
          <w:spacing w:val="-4"/>
          <w:sz w:val="24"/>
        </w:rPr>
        <w:t> </w:t>
      </w:r>
      <w:r>
        <w:rPr>
          <w:sz w:val="24"/>
        </w:rPr>
        <w:t>(2018</w:t>
      </w:r>
      <w:r>
        <w:rPr>
          <w:spacing w:val="-4"/>
          <w:sz w:val="24"/>
        </w:rPr>
        <w:t> </w:t>
      </w:r>
      <w:r>
        <w:rPr>
          <w:sz w:val="24"/>
        </w:rPr>
        <w:t>FR</w:t>
      </w:r>
      <w:r>
        <w:rPr>
          <w:spacing w:val="-1"/>
          <w:sz w:val="24"/>
        </w:rPr>
        <w:t> </w:t>
      </w:r>
      <w:r>
        <w:rPr>
          <w:sz w:val="24"/>
        </w:rPr>
        <w:t>Notice)</w:t>
      </w:r>
    </w:p>
    <w:p>
      <w:pPr>
        <w:pStyle w:val="ListParagraph"/>
        <w:numPr>
          <w:ilvl w:val="2"/>
          <w:numId w:val="2"/>
        </w:numPr>
        <w:tabs>
          <w:tab w:pos="1559" w:val="left" w:leader="none"/>
          <w:tab w:pos="1560" w:val="left" w:leader="none"/>
        </w:tabs>
        <w:spacing w:line="240" w:lineRule="auto" w:before="0" w:after="0"/>
        <w:ind w:left="1560" w:right="1480" w:hanging="360"/>
        <w:jc w:val="left"/>
        <w:rPr>
          <w:sz w:val="24"/>
        </w:rPr>
      </w:pPr>
      <w:r>
        <w:rPr>
          <w:sz w:val="24"/>
        </w:rPr>
        <w:t>This notice required PHAs to implement an over-income limit in their public housing</w:t>
      </w:r>
      <w:r>
        <w:rPr>
          <w:spacing w:val="-4"/>
          <w:sz w:val="24"/>
        </w:rPr>
        <w:t> </w:t>
      </w:r>
      <w:r>
        <w:rPr>
          <w:sz w:val="24"/>
        </w:rPr>
        <w:t>program</w:t>
      </w:r>
      <w:r>
        <w:rPr>
          <w:spacing w:val="-4"/>
          <w:sz w:val="24"/>
        </w:rPr>
        <w:t> </w:t>
      </w:r>
      <w:r>
        <w:rPr>
          <w:sz w:val="24"/>
        </w:rPr>
        <w:t>no</w:t>
      </w:r>
      <w:r>
        <w:rPr>
          <w:spacing w:val="-4"/>
          <w:sz w:val="24"/>
        </w:rPr>
        <w:t> </w:t>
      </w:r>
      <w:r>
        <w:rPr>
          <w:sz w:val="24"/>
        </w:rPr>
        <w:t>later</w:t>
      </w:r>
      <w:r>
        <w:rPr>
          <w:spacing w:val="-3"/>
          <w:sz w:val="24"/>
        </w:rPr>
        <w:t> </w:t>
      </w:r>
      <w:r>
        <w:rPr>
          <w:sz w:val="24"/>
        </w:rPr>
        <w:t>than</w:t>
      </w:r>
      <w:r>
        <w:rPr>
          <w:spacing w:val="-4"/>
          <w:sz w:val="24"/>
        </w:rPr>
        <w:t> </w:t>
      </w:r>
      <w:r>
        <w:rPr>
          <w:sz w:val="24"/>
        </w:rPr>
        <w:t>6</w:t>
      </w:r>
      <w:r>
        <w:rPr>
          <w:spacing w:val="-4"/>
          <w:sz w:val="24"/>
        </w:rPr>
        <w:t> </w:t>
      </w:r>
      <w:r>
        <w:rPr>
          <w:sz w:val="24"/>
        </w:rPr>
        <w:t>months</w:t>
      </w:r>
      <w:r>
        <w:rPr>
          <w:spacing w:val="-4"/>
          <w:sz w:val="24"/>
        </w:rPr>
        <w:t> </w:t>
      </w:r>
      <w:r>
        <w:rPr>
          <w:sz w:val="24"/>
        </w:rPr>
        <w:t>after</w:t>
      </w:r>
      <w:r>
        <w:rPr>
          <w:spacing w:val="-5"/>
          <w:sz w:val="24"/>
        </w:rPr>
        <w:t> </w:t>
      </w:r>
      <w:r>
        <w:rPr>
          <w:sz w:val="24"/>
        </w:rPr>
        <w:t>the</w:t>
      </w:r>
      <w:r>
        <w:rPr>
          <w:spacing w:val="-3"/>
          <w:sz w:val="24"/>
        </w:rPr>
        <w:t> </w:t>
      </w:r>
      <w:r>
        <w:rPr>
          <w:sz w:val="24"/>
        </w:rPr>
        <w:t>September</w:t>
      </w:r>
      <w:r>
        <w:rPr>
          <w:spacing w:val="-5"/>
          <w:sz w:val="24"/>
        </w:rPr>
        <w:t> </w:t>
      </w:r>
      <w:r>
        <w:rPr>
          <w:sz w:val="24"/>
        </w:rPr>
        <w:t>24,</w:t>
      </w:r>
      <w:r>
        <w:rPr>
          <w:spacing w:val="-4"/>
          <w:sz w:val="24"/>
        </w:rPr>
        <w:t> </w:t>
      </w:r>
      <w:r>
        <w:rPr>
          <w:sz w:val="24"/>
        </w:rPr>
        <w:t>2018,</w:t>
      </w:r>
      <w:r>
        <w:rPr>
          <w:spacing w:val="-4"/>
          <w:sz w:val="24"/>
        </w:rPr>
        <w:t> </w:t>
      </w:r>
      <w:r>
        <w:rPr>
          <w:sz w:val="24"/>
        </w:rPr>
        <w:t>effective date of the notice (by March 24, 2019).</w:t>
      </w:r>
    </w:p>
    <w:p>
      <w:pPr>
        <w:pStyle w:val="BodyText"/>
        <w:spacing w:before="10"/>
        <w:rPr>
          <w:sz w:val="23"/>
        </w:rPr>
      </w:pPr>
    </w:p>
    <w:p>
      <w:pPr>
        <w:pStyle w:val="ListParagraph"/>
        <w:numPr>
          <w:ilvl w:val="1"/>
          <w:numId w:val="2"/>
        </w:numPr>
        <w:tabs>
          <w:tab w:pos="840" w:val="left" w:leader="none"/>
        </w:tabs>
        <w:spacing w:line="240" w:lineRule="auto" w:before="0" w:after="0"/>
        <w:ind w:left="840" w:right="1272" w:hanging="360"/>
        <w:jc w:val="left"/>
        <w:rPr>
          <w:sz w:val="24"/>
        </w:rPr>
      </w:pPr>
      <w:r>
        <w:rPr>
          <w:sz w:val="24"/>
        </w:rPr>
        <w:t>Notice</w:t>
      </w:r>
      <w:r>
        <w:rPr>
          <w:spacing w:val="-4"/>
          <w:sz w:val="24"/>
        </w:rPr>
        <w:t> </w:t>
      </w:r>
      <w:r>
        <w:rPr>
          <w:sz w:val="24"/>
        </w:rPr>
        <w:t>PIH</w:t>
      </w:r>
      <w:r>
        <w:rPr>
          <w:spacing w:val="-4"/>
          <w:sz w:val="24"/>
        </w:rPr>
        <w:t> </w:t>
      </w:r>
      <w:r>
        <w:rPr>
          <w:sz w:val="24"/>
        </w:rPr>
        <w:t>2019-11</w:t>
      </w:r>
      <w:r>
        <w:rPr>
          <w:spacing w:val="-4"/>
          <w:sz w:val="24"/>
        </w:rPr>
        <w:t> </w:t>
      </w:r>
      <w:r>
        <w:rPr>
          <w:sz w:val="24"/>
        </w:rPr>
        <w:t>-</w:t>
      </w:r>
      <w:r>
        <w:rPr>
          <w:spacing w:val="-3"/>
          <w:sz w:val="24"/>
        </w:rPr>
        <w:t> </w:t>
      </w:r>
      <w:r>
        <w:rPr>
          <w:sz w:val="24"/>
        </w:rPr>
        <w:t>Final</w:t>
      </w:r>
      <w:r>
        <w:rPr>
          <w:spacing w:val="-4"/>
          <w:sz w:val="24"/>
        </w:rPr>
        <w:t> </w:t>
      </w:r>
      <w:r>
        <w:rPr>
          <w:sz w:val="24"/>
        </w:rPr>
        <w:t>Implementation</w:t>
      </w:r>
      <w:r>
        <w:rPr>
          <w:spacing w:val="-4"/>
          <w:sz w:val="24"/>
        </w:rPr>
        <w:t> </w:t>
      </w:r>
      <w:r>
        <w:rPr>
          <w:sz w:val="24"/>
        </w:rPr>
        <w:t>of</w:t>
      </w:r>
      <w:r>
        <w:rPr>
          <w:spacing w:val="-4"/>
          <w:sz w:val="24"/>
        </w:rPr>
        <w:t> </w:t>
      </w:r>
      <w:r>
        <w:rPr>
          <w:sz w:val="24"/>
        </w:rPr>
        <w:t>Public</w:t>
      </w:r>
      <w:r>
        <w:rPr>
          <w:spacing w:val="-4"/>
          <w:sz w:val="24"/>
        </w:rPr>
        <w:t> </w:t>
      </w:r>
      <w:r>
        <w:rPr>
          <w:sz w:val="24"/>
        </w:rPr>
        <w:t>Housing</w:t>
      </w:r>
      <w:r>
        <w:rPr>
          <w:spacing w:val="-4"/>
          <w:sz w:val="24"/>
        </w:rPr>
        <w:t> </w:t>
      </w:r>
      <w:r>
        <w:rPr>
          <w:sz w:val="24"/>
        </w:rPr>
        <w:t>Over-Income</w:t>
      </w:r>
      <w:r>
        <w:rPr>
          <w:spacing w:val="-4"/>
          <w:sz w:val="24"/>
        </w:rPr>
        <w:t> </w:t>
      </w:r>
      <w:r>
        <w:rPr>
          <w:sz w:val="24"/>
        </w:rPr>
        <w:t>Limit</w:t>
      </w:r>
      <w:r>
        <w:rPr>
          <w:spacing w:val="-4"/>
          <w:sz w:val="24"/>
        </w:rPr>
        <w:t> </w:t>
      </w:r>
      <w:r>
        <w:rPr>
          <w:sz w:val="24"/>
        </w:rPr>
        <w:t>under the</w:t>
      </w:r>
      <w:r>
        <w:rPr>
          <w:spacing w:val="-5"/>
          <w:sz w:val="24"/>
        </w:rPr>
        <w:t> </w:t>
      </w:r>
      <w:r>
        <w:rPr>
          <w:sz w:val="24"/>
        </w:rPr>
        <w:t>Housing</w:t>
      </w:r>
      <w:r>
        <w:rPr>
          <w:spacing w:val="-4"/>
          <w:sz w:val="24"/>
        </w:rPr>
        <w:t> </w:t>
      </w:r>
      <w:r>
        <w:rPr>
          <w:sz w:val="24"/>
        </w:rPr>
        <w:t>Opportunity</w:t>
      </w:r>
      <w:r>
        <w:rPr>
          <w:spacing w:val="-4"/>
          <w:sz w:val="24"/>
        </w:rPr>
        <w:t> </w:t>
      </w:r>
      <w:r>
        <w:rPr>
          <w:sz w:val="24"/>
        </w:rPr>
        <w:t>Through</w:t>
      </w:r>
      <w:r>
        <w:rPr>
          <w:spacing w:val="-4"/>
          <w:sz w:val="24"/>
        </w:rPr>
        <w:t> </w:t>
      </w:r>
      <w:r>
        <w:rPr>
          <w:sz w:val="24"/>
        </w:rPr>
        <w:t>Modernization</w:t>
      </w:r>
      <w:r>
        <w:rPr>
          <w:spacing w:val="-4"/>
          <w:sz w:val="24"/>
        </w:rPr>
        <w:t> </w:t>
      </w:r>
      <w:r>
        <w:rPr>
          <w:sz w:val="24"/>
        </w:rPr>
        <w:t>Act</w:t>
      </w:r>
      <w:r>
        <w:rPr>
          <w:spacing w:val="-4"/>
          <w:sz w:val="24"/>
        </w:rPr>
        <w:t> </w:t>
      </w:r>
      <w:r>
        <w:rPr>
          <w:sz w:val="24"/>
        </w:rPr>
        <w:t>of</w:t>
      </w:r>
      <w:r>
        <w:rPr>
          <w:spacing w:val="-5"/>
          <w:sz w:val="24"/>
        </w:rPr>
        <w:t> </w:t>
      </w:r>
      <w:r>
        <w:rPr>
          <w:sz w:val="24"/>
        </w:rPr>
        <w:t>2016</w:t>
      </w:r>
      <w:r>
        <w:rPr>
          <w:spacing w:val="-4"/>
          <w:sz w:val="24"/>
        </w:rPr>
        <w:t> </w:t>
      </w:r>
      <w:r>
        <w:rPr>
          <w:sz w:val="24"/>
        </w:rPr>
        <w:t>(HOTMA).</w:t>
      </w:r>
      <w:r>
        <w:rPr>
          <w:spacing w:val="-4"/>
          <w:sz w:val="24"/>
        </w:rPr>
        <w:t> </w:t>
      </w:r>
      <w:r>
        <w:rPr>
          <w:sz w:val="24"/>
        </w:rPr>
        <w:t>(May</w:t>
      </w:r>
      <w:r>
        <w:rPr>
          <w:spacing w:val="-4"/>
          <w:sz w:val="24"/>
        </w:rPr>
        <w:t> </w:t>
      </w:r>
      <w:r>
        <w:rPr>
          <w:sz w:val="24"/>
        </w:rPr>
        <w:t>3,</w:t>
      </w:r>
      <w:r>
        <w:rPr>
          <w:spacing w:val="-4"/>
          <w:sz w:val="24"/>
        </w:rPr>
        <w:t> </w:t>
      </w:r>
      <w:r>
        <w:rPr>
          <w:sz w:val="24"/>
        </w:rPr>
        <w:t>2019)</w:t>
      </w:r>
    </w:p>
    <w:p>
      <w:pPr>
        <w:pStyle w:val="ListParagraph"/>
        <w:numPr>
          <w:ilvl w:val="2"/>
          <w:numId w:val="2"/>
        </w:numPr>
        <w:tabs>
          <w:tab w:pos="1559" w:val="left" w:leader="none"/>
          <w:tab w:pos="1560" w:val="left" w:leader="none"/>
        </w:tabs>
        <w:spacing w:line="240" w:lineRule="auto" w:before="0" w:after="0"/>
        <w:ind w:left="1560" w:right="1560" w:hanging="360"/>
        <w:jc w:val="left"/>
        <w:rPr>
          <w:sz w:val="24"/>
        </w:rPr>
      </w:pPr>
      <w:r>
        <w:rPr>
          <w:sz w:val="24"/>
        </w:rPr>
        <w:t>This notice provided guidance and examples on how a PHA should begin to implement an over-income limit in their public housing program. It also announced</w:t>
      </w:r>
      <w:r>
        <w:rPr>
          <w:spacing w:val="-3"/>
          <w:sz w:val="24"/>
        </w:rPr>
        <w:t> </w:t>
      </w:r>
      <w:r>
        <w:rPr>
          <w:sz w:val="24"/>
        </w:rPr>
        <w:t>that</w:t>
      </w:r>
      <w:r>
        <w:rPr>
          <w:spacing w:val="-3"/>
          <w:sz w:val="24"/>
        </w:rPr>
        <w:t> </w:t>
      </w:r>
      <w:r>
        <w:rPr>
          <w:sz w:val="24"/>
        </w:rPr>
        <w:t>the</w:t>
      </w:r>
      <w:r>
        <w:rPr>
          <w:spacing w:val="-3"/>
          <w:sz w:val="24"/>
        </w:rPr>
        <w:t> </w:t>
      </w:r>
      <w:r>
        <w:rPr>
          <w:sz w:val="24"/>
        </w:rPr>
        <w:t>authority</w:t>
      </w:r>
      <w:r>
        <w:rPr>
          <w:spacing w:val="-3"/>
          <w:sz w:val="24"/>
        </w:rPr>
        <w:t> </w:t>
      </w:r>
      <w:r>
        <w:rPr>
          <w:sz w:val="24"/>
        </w:rPr>
        <w:t>to</w:t>
      </w:r>
      <w:r>
        <w:rPr>
          <w:spacing w:val="-3"/>
          <w:sz w:val="24"/>
        </w:rPr>
        <w:t> </w:t>
      </w:r>
      <w:r>
        <w:rPr>
          <w:sz w:val="24"/>
        </w:rPr>
        <w:t>charge</w:t>
      </w:r>
      <w:r>
        <w:rPr>
          <w:spacing w:val="-5"/>
          <w:sz w:val="24"/>
        </w:rPr>
        <w:t> </w:t>
      </w:r>
      <w:r>
        <w:rPr>
          <w:sz w:val="24"/>
        </w:rPr>
        <w:t>the</w:t>
      </w:r>
      <w:r>
        <w:rPr>
          <w:spacing w:val="-3"/>
          <w:sz w:val="24"/>
        </w:rPr>
        <w:t> </w:t>
      </w:r>
      <w:r>
        <w:rPr>
          <w:sz w:val="24"/>
        </w:rPr>
        <w:t>alternative</w:t>
      </w:r>
      <w:r>
        <w:rPr>
          <w:spacing w:val="-4"/>
          <w:sz w:val="24"/>
        </w:rPr>
        <w:t> </w:t>
      </w:r>
      <w:r>
        <w:rPr>
          <w:sz w:val="24"/>
        </w:rPr>
        <w:t>rent</w:t>
      </w:r>
      <w:r>
        <w:rPr>
          <w:spacing w:val="-3"/>
          <w:sz w:val="24"/>
        </w:rPr>
        <w:t> </w:t>
      </w:r>
      <w:r>
        <w:rPr>
          <w:sz w:val="24"/>
        </w:rPr>
        <w:t>would</w:t>
      </w:r>
      <w:r>
        <w:rPr>
          <w:spacing w:val="-3"/>
          <w:sz w:val="24"/>
        </w:rPr>
        <w:t> </w:t>
      </w:r>
      <w:r>
        <w:rPr>
          <w:sz w:val="24"/>
        </w:rPr>
        <w:t>only</w:t>
      </w:r>
      <w:r>
        <w:rPr>
          <w:spacing w:val="-3"/>
          <w:sz w:val="24"/>
        </w:rPr>
        <w:t> </w:t>
      </w:r>
      <w:r>
        <w:rPr>
          <w:sz w:val="24"/>
        </w:rPr>
        <w:t>be</w:t>
      </w:r>
      <w:r>
        <w:rPr>
          <w:spacing w:val="-4"/>
          <w:sz w:val="24"/>
        </w:rPr>
        <w:t> </w:t>
      </w:r>
      <w:r>
        <w:rPr>
          <w:sz w:val="24"/>
        </w:rPr>
        <w:t>made effective by rulemaking.</w:t>
      </w:r>
    </w:p>
    <w:p>
      <w:pPr>
        <w:pStyle w:val="BodyText"/>
        <w:spacing w:before="10"/>
        <w:rPr>
          <w:sz w:val="23"/>
        </w:rPr>
      </w:pPr>
    </w:p>
    <w:p>
      <w:pPr>
        <w:pStyle w:val="ListParagraph"/>
        <w:numPr>
          <w:ilvl w:val="1"/>
          <w:numId w:val="2"/>
        </w:numPr>
        <w:tabs>
          <w:tab w:pos="840" w:val="left" w:leader="none"/>
        </w:tabs>
        <w:spacing w:line="240" w:lineRule="auto" w:before="1" w:after="0"/>
        <w:ind w:left="840" w:right="1738" w:hanging="360"/>
        <w:jc w:val="left"/>
        <w:rPr>
          <w:sz w:val="24"/>
        </w:rPr>
      </w:pPr>
      <w:r>
        <w:rPr>
          <w:sz w:val="24"/>
        </w:rPr>
        <w:t>84</w:t>
      </w:r>
      <w:r>
        <w:rPr>
          <w:spacing w:val="-4"/>
          <w:sz w:val="24"/>
        </w:rPr>
        <w:t> </w:t>
      </w:r>
      <w:r>
        <w:rPr>
          <w:sz w:val="24"/>
        </w:rPr>
        <w:t>FR</w:t>
      </w:r>
      <w:r>
        <w:rPr>
          <w:spacing w:val="-4"/>
          <w:sz w:val="24"/>
        </w:rPr>
        <w:t> </w:t>
      </w:r>
      <w:r>
        <w:rPr>
          <w:sz w:val="24"/>
        </w:rPr>
        <w:t>48820</w:t>
      </w:r>
      <w:r>
        <w:rPr>
          <w:spacing w:val="-4"/>
          <w:sz w:val="24"/>
        </w:rPr>
        <w:t> </w:t>
      </w:r>
      <w:r>
        <w:rPr>
          <w:sz w:val="24"/>
        </w:rPr>
        <w:t>–</w:t>
      </w:r>
      <w:r>
        <w:rPr>
          <w:spacing w:val="-4"/>
          <w:sz w:val="24"/>
        </w:rPr>
        <w:t> </w:t>
      </w:r>
      <w:r>
        <w:rPr>
          <w:sz w:val="24"/>
        </w:rPr>
        <w:t>Proposed</w:t>
      </w:r>
      <w:r>
        <w:rPr>
          <w:spacing w:val="-3"/>
          <w:sz w:val="24"/>
        </w:rPr>
        <w:t> </w:t>
      </w:r>
      <w:r>
        <w:rPr>
          <w:sz w:val="24"/>
        </w:rPr>
        <w:t>Rule:</w:t>
      </w:r>
      <w:r>
        <w:rPr>
          <w:spacing w:val="-5"/>
          <w:sz w:val="24"/>
        </w:rPr>
        <w:t> </w:t>
      </w:r>
      <w:r>
        <w:rPr>
          <w:sz w:val="24"/>
        </w:rPr>
        <w:t>Housing</w:t>
      </w:r>
      <w:r>
        <w:rPr>
          <w:spacing w:val="-4"/>
          <w:sz w:val="24"/>
        </w:rPr>
        <w:t> </w:t>
      </w:r>
      <w:r>
        <w:rPr>
          <w:sz w:val="24"/>
        </w:rPr>
        <w:t>Opportunity</w:t>
      </w:r>
      <w:r>
        <w:rPr>
          <w:spacing w:val="-4"/>
          <w:sz w:val="24"/>
        </w:rPr>
        <w:t> </w:t>
      </w:r>
      <w:r>
        <w:rPr>
          <w:sz w:val="24"/>
        </w:rPr>
        <w:t>Through</w:t>
      </w:r>
      <w:r>
        <w:rPr>
          <w:spacing w:val="-4"/>
          <w:sz w:val="24"/>
        </w:rPr>
        <w:t> </w:t>
      </w:r>
      <w:r>
        <w:rPr>
          <w:sz w:val="24"/>
        </w:rPr>
        <w:t>Modernization</w:t>
      </w:r>
      <w:r>
        <w:rPr>
          <w:spacing w:val="-4"/>
          <w:sz w:val="24"/>
        </w:rPr>
        <w:t> </w:t>
      </w:r>
      <w:r>
        <w:rPr>
          <w:sz w:val="24"/>
        </w:rPr>
        <w:t>Act</w:t>
      </w:r>
      <w:r>
        <w:rPr>
          <w:spacing w:val="-4"/>
          <w:sz w:val="24"/>
        </w:rPr>
        <w:t> </w:t>
      </w:r>
      <w:r>
        <w:rPr>
          <w:sz w:val="24"/>
        </w:rPr>
        <w:t>of 2016: Implementation of Sections 102, 103, and 104. (September 17, 2019)</w:t>
      </w:r>
    </w:p>
    <w:p>
      <w:pPr>
        <w:pStyle w:val="ListParagraph"/>
        <w:numPr>
          <w:ilvl w:val="2"/>
          <w:numId w:val="2"/>
        </w:numPr>
        <w:tabs>
          <w:tab w:pos="1559" w:val="left" w:leader="none"/>
          <w:tab w:pos="1560" w:val="left" w:leader="none"/>
        </w:tabs>
        <w:spacing w:line="240" w:lineRule="auto" w:before="0" w:after="0"/>
        <w:ind w:left="1560" w:right="1491" w:hanging="360"/>
        <w:jc w:val="left"/>
        <w:rPr>
          <w:sz w:val="24"/>
        </w:rPr>
      </w:pPr>
      <w:r>
        <w:rPr>
          <w:sz w:val="24"/>
        </w:rPr>
        <w:t>The</w:t>
      </w:r>
      <w:r>
        <w:rPr>
          <w:spacing w:val="-5"/>
          <w:sz w:val="24"/>
        </w:rPr>
        <w:t> </w:t>
      </w:r>
      <w:r>
        <w:rPr>
          <w:sz w:val="24"/>
        </w:rPr>
        <w:t>proposed</w:t>
      </w:r>
      <w:r>
        <w:rPr>
          <w:spacing w:val="-3"/>
          <w:sz w:val="24"/>
        </w:rPr>
        <w:t> </w:t>
      </w:r>
      <w:r>
        <w:rPr>
          <w:sz w:val="24"/>
        </w:rPr>
        <w:t>rule</w:t>
      </w:r>
      <w:r>
        <w:rPr>
          <w:spacing w:val="-5"/>
          <w:sz w:val="24"/>
        </w:rPr>
        <w:t> </w:t>
      </w:r>
      <w:r>
        <w:rPr>
          <w:sz w:val="24"/>
        </w:rPr>
        <w:t>provided</w:t>
      </w:r>
      <w:r>
        <w:rPr>
          <w:spacing w:val="-3"/>
          <w:sz w:val="24"/>
        </w:rPr>
        <w:t> </w:t>
      </w:r>
      <w:r>
        <w:rPr>
          <w:sz w:val="24"/>
        </w:rPr>
        <w:t>the</w:t>
      </w:r>
      <w:r>
        <w:rPr>
          <w:spacing w:val="-4"/>
          <w:sz w:val="24"/>
        </w:rPr>
        <w:t> </w:t>
      </w:r>
      <w:r>
        <w:rPr>
          <w:sz w:val="24"/>
        </w:rPr>
        <w:t>suggested</w:t>
      </w:r>
      <w:r>
        <w:rPr>
          <w:spacing w:val="-3"/>
          <w:sz w:val="24"/>
        </w:rPr>
        <w:t> </w:t>
      </w:r>
      <w:r>
        <w:rPr>
          <w:sz w:val="24"/>
        </w:rPr>
        <w:t>regulations</w:t>
      </w:r>
      <w:r>
        <w:rPr>
          <w:spacing w:val="-3"/>
          <w:sz w:val="24"/>
        </w:rPr>
        <w:t> </w:t>
      </w:r>
      <w:r>
        <w:rPr>
          <w:sz w:val="24"/>
        </w:rPr>
        <w:t>on</w:t>
      </w:r>
      <w:r>
        <w:rPr>
          <w:spacing w:val="-3"/>
          <w:sz w:val="24"/>
        </w:rPr>
        <w:t> </w:t>
      </w:r>
      <w:r>
        <w:rPr>
          <w:sz w:val="24"/>
        </w:rPr>
        <w:t>the</w:t>
      </w:r>
      <w:r>
        <w:rPr>
          <w:spacing w:val="-4"/>
          <w:sz w:val="24"/>
        </w:rPr>
        <w:t> </w:t>
      </w:r>
      <w:r>
        <w:rPr>
          <w:sz w:val="24"/>
        </w:rPr>
        <w:t>implementation</w:t>
      </w:r>
      <w:r>
        <w:rPr>
          <w:spacing w:val="-3"/>
          <w:sz w:val="24"/>
        </w:rPr>
        <w:t> </w:t>
      </w:r>
      <w:r>
        <w:rPr>
          <w:sz w:val="24"/>
        </w:rPr>
        <w:t>of the over-income limit.</w:t>
      </w:r>
    </w:p>
    <w:p>
      <w:pPr>
        <w:pStyle w:val="BodyText"/>
        <w:spacing w:before="10"/>
        <w:rPr>
          <w:sz w:val="23"/>
        </w:rPr>
      </w:pPr>
    </w:p>
    <w:p>
      <w:pPr>
        <w:pStyle w:val="ListParagraph"/>
        <w:numPr>
          <w:ilvl w:val="1"/>
          <w:numId w:val="2"/>
        </w:numPr>
        <w:tabs>
          <w:tab w:pos="840" w:val="left" w:leader="none"/>
        </w:tabs>
        <w:spacing w:line="240" w:lineRule="auto" w:before="0" w:after="0"/>
        <w:ind w:left="840" w:right="1329" w:hanging="360"/>
        <w:jc w:val="left"/>
        <w:rPr>
          <w:sz w:val="24"/>
        </w:rPr>
      </w:pPr>
      <w:r>
        <w:rPr>
          <w:sz w:val="24"/>
        </w:rPr>
        <w:t>Notice PIH 2020-05 - COVID-19 Statutory and Regulatory Waivers for the Public Housing,</w:t>
      </w:r>
      <w:r>
        <w:rPr>
          <w:spacing w:val="-4"/>
          <w:sz w:val="24"/>
        </w:rPr>
        <w:t> </w:t>
      </w:r>
      <w:r>
        <w:rPr>
          <w:sz w:val="24"/>
        </w:rPr>
        <w:t>Housing</w:t>
      </w:r>
      <w:r>
        <w:rPr>
          <w:spacing w:val="-4"/>
          <w:sz w:val="24"/>
        </w:rPr>
        <w:t> </w:t>
      </w:r>
      <w:r>
        <w:rPr>
          <w:sz w:val="24"/>
        </w:rPr>
        <w:t>Choice</w:t>
      </w:r>
      <w:r>
        <w:rPr>
          <w:spacing w:val="-5"/>
          <w:sz w:val="24"/>
        </w:rPr>
        <w:t> </w:t>
      </w:r>
      <w:r>
        <w:rPr>
          <w:sz w:val="24"/>
        </w:rPr>
        <w:t>Voucher,</w:t>
      </w:r>
      <w:r>
        <w:rPr>
          <w:spacing w:val="-2"/>
          <w:sz w:val="24"/>
        </w:rPr>
        <w:t> </w:t>
      </w:r>
      <w:r>
        <w:rPr>
          <w:sz w:val="24"/>
        </w:rPr>
        <w:t>Indian</w:t>
      </w:r>
      <w:r>
        <w:rPr>
          <w:spacing w:val="-4"/>
          <w:sz w:val="24"/>
        </w:rPr>
        <w:t> </w:t>
      </w:r>
      <w:r>
        <w:rPr>
          <w:sz w:val="24"/>
        </w:rPr>
        <w:t>Housing</w:t>
      </w:r>
      <w:r>
        <w:rPr>
          <w:spacing w:val="-4"/>
          <w:sz w:val="24"/>
        </w:rPr>
        <w:t> </w:t>
      </w:r>
      <w:r>
        <w:rPr>
          <w:sz w:val="24"/>
        </w:rPr>
        <w:t>Block</w:t>
      </w:r>
      <w:r>
        <w:rPr>
          <w:spacing w:val="-4"/>
          <w:sz w:val="24"/>
        </w:rPr>
        <w:t> </w:t>
      </w:r>
      <w:r>
        <w:rPr>
          <w:sz w:val="24"/>
        </w:rPr>
        <w:t>Grant</w:t>
      </w:r>
      <w:r>
        <w:rPr>
          <w:spacing w:val="-5"/>
          <w:sz w:val="24"/>
        </w:rPr>
        <w:t> </w:t>
      </w:r>
      <w:r>
        <w:rPr>
          <w:sz w:val="24"/>
        </w:rPr>
        <w:t>and</w:t>
      </w:r>
      <w:r>
        <w:rPr>
          <w:spacing w:val="-3"/>
          <w:sz w:val="24"/>
        </w:rPr>
        <w:t> </w:t>
      </w:r>
      <w:r>
        <w:rPr>
          <w:sz w:val="24"/>
        </w:rPr>
        <w:t>Indian</w:t>
      </w:r>
      <w:r>
        <w:rPr>
          <w:spacing w:val="-5"/>
          <w:sz w:val="24"/>
        </w:rPr>
        <w:t> </w:t>
      </w:r>
      <w:r>
        <w:rPr>
          <w:sz w:val="24"/>
        </w:rPr>
        <w:t>Community Development</w:t>
      </w:r>
      <w:r>
        <w:rPr>
          <w:spacing w:val="-1"/>
          <w:sz w:val="24"/>
        </w:rPr>
        <w:t> </w:t>
      </w:r>
      <w:r>
        <w:rPr>
          <w:sz w:val="24"/>
        </w:rPr>
        <w:t>Block</w:t>
      </w:r>
      <w:r>
        <w:rPr>
          <w:spacing w:val="-1"/>
          <w:sz w:val="24"/>
        </w:rPr>
        <w:t> </w:t>
      </w:r>
      <w:r>
        <w:rPr>
          <w:sz w:val="24"/>
        </w:rPr>
        <w:t>Grant</w:t>
      </w:r>
      <w:r>
        <w:rPr>
          <w:spacing w:val="-2"/>
          <w:sz w:val="24"/>
        </w:rPr>
        <w:t> </w:t>
      </w:r>
      <w:r>
        <w:rPr>
          <w:sz w:val="24"/>
        </w:rPr>
        <w:t>programs,</w:t>
      </w:r>
      <w:r>
        <w:rPr>
          <w:spacing w:val="-1"/>
          <w:sz w:val="24"/>
        </w:rPr>
        <w:t> </w:t>
      </w:r>
      <w:r>
        <w:rPr>
          <w:sz w:val="24"/>
        </w:rPr>
        <w:t>Suspension</w:t>
      </w:r>
      <w:r>
        <w:rPr>
          <w:spacing w:val="-1"/>
          <w:sz w:val="24"/>
        </w:rPr>
        <w:t> </w:t>
      </w:r>
      <w:r>
        <w:rPr>
          <w:sz w:val="24"/>
        </w:rPr>
        <w:t>of</w:t>
      </w:r>
      <w:r>
        <w:rPr>
          <w:spacing w:val="-2"/>
          <w:sz w:val="24"/>
        </w:rPr>
        <w:t> </w:t>
      </w:r>
      <w:r>
        <w:rPr>
          <w:sz w:val="24"/>
        </w:rPr>
        <w:t>Public</w:t>
      </w:r>
      <w:r>
        <w:rPr>
          <w:spacing w:val="-2"/>
          <w:sz w:val="24"/>
        </w:rPr>
        <w:t> </w:t>
      </w:r>
      <w:r>
        <w:rPr>
          <w:sz w:val="24"/>
        </w:rPr>
        <w:t>Housing</w:t>
      </w:r>
      <w:r>
        <w:rPr>
          <w:spacing w:val="-1"/>
          <w:sz w:val="24"/>
        </w:rPr>
        <w:t> </w:t>
      </w:r>
      <w:r>
        <w:rPr>
          <w:sz w:val="24"/>
        </w:rPr>
        <w:t>Assessment</w:t>
      </w:r>
      <w:r>
        <w:rPr>
          <w:spacing w:val="-1"/>
          <w:sz w:val="24"/>
        </w:rPr>
        <w:t> </w:t>
      </w:r>
      <w:r>
        <w:rPr>
          <w:sz w:val="24"/>
        </w:rPr>
        <w:t>System and Section Eight Management Assessment Program. (April 10, 2020)</w:t>
      </w:r>
    </w:p>
    <w:p>
      <w:pPr>
        <w:pStyle w:val="ListParagraph"/>
        <w:numPr>
          <w:ilvl w:val="2"/>
          <w:numId w:val="2"/>
        </w:numPr>
        <w:tabs>
          <w:tab w:pos="1559" w:val="left" w:leader="none"/>
          <w:tab w:pos="1560" w:val="left" w:leader="none"/>
        </w:tabs>
        <w:spacing w:line="240" w:lineRule="auto" w:before="0" w:after="0"/>
        <w:ind w:left="1560" w:right="1345" w:hanging="360"/>
        <w:jc w:val="left"/>
        <w:rPr>
          <w:sz w:val="24"/>
        </w:rPr>
      </w:pPr>
      <w:r>
        <w:rPr>
          <w:sz w:val="24"/>
        </w:rPr>
        <w:t>Authorized</w:t>
      </w:r>
      <w:r>
        <w:rPr>
          <w:spacing w:val="-3"/>
          <w:sz w:val="24"/>
        </w:rPr>
        <w:t> </w:t>
      </w:r>
      <w:r>
        <w:rPr>
          <w:sz w:val="24"/>
        </w:rPr>
        <w:t>under</w:t>
      </w:r>
      <w:r>
        <w:rPr>
          <w:spacing w:val="-4"/>
          <w:sz w:val="24"/>
        </w:rPr>
        <w:t> </w:t>
      </w:r>
      <w:r>
        <w:rPr>
          <w:sz w:val="24"/>
        </w:rPr>
        <w:t>the</w:t>
      </w:r>
      <w:r>
        <w:rPr>
          <w:spacing w:val="-5"/>
          <w:sz w:val="24"/>
        </w:rPr>
        <w:t> </w:t>
      </w:r>
      <w:r>
        <w:rPr>
          <w:sz w:val="24"/>
        </w:rPr>
        <w:t>CARES</w:t>
      </w:r>
      <w:r>
        <w:rPr>
          <w:spacing w:val="-3"/>
          <w:sz w:val="24"/>
        </w:rPr>
        <w:t> </w:t>
      </w:r>
      <w:r>
        <w:rPr>
          <w:sz w:val="24"/>
        </w:rPr>
        <w:t>Act,</w:t>
      </w:r>
      <w:r>
        <w:rPr>
          <w:spacing w:val="-3"/>
          <w:sz w:val="24"/>
        </w:rPr>
        <w:t> </w:t>
      </w:r>
      <w:r>
        <w:rPr>
          <w:sz w:val="24"/>
        </w:rPr>
        <w:t>this</w:t>
      </w:r>
      <w:r>
        <w:rPr>
          <w:spacing w:val="-3"/>
          <w:sz w:val="24"/>
        </w:rPr>
        <w:t> </w:t>
      </w:r>
      <w:r>
        <w:rPr>
          <w:sz w:val="24"/>
        </w:rPr>
        <w:t>notice</w:t>
      </w:r>
      <w:r>
        <w:rPr>
          <w:spacing w:val="-5"/>
          <w:sz w:val="24"/>
        </w:rPr>
        <w:t> </w:t>
      </w:r>
      <w:r>
        <w:rPr>
          <w:sz w:val="24"/>
        </w:rPr>
        <w:t>delayed</w:t>
      </w:r>
      <w:r>
        <w:rPr>
          <w:spacing w:val="-3"/>
          <w:sz w:val="24"/>
        </w:rPr>
        <w:t> </w:t>
      </w:r>
      <w:r>
        <w:rPr>
          <w:sz w:val="24"/>
        </w:rPr>
        <w:t>the</w:t>
      </w:r>
      <w:r>
        <w:rPr>
          <w:spacing w:val="-5"/>
          <w:sz w:val="24"/>
        </w:rPr>
        <w:t> </w:t>
      </w:r>
      <w:r>
        <w:rPr>
          <w:sz w:val="24"/>
        </w:rPr>
        <w:t>full</w:t>
      </w:r>
      <w:r>
        <w:rPr>
          <w:spacing w:val="-3"/>
          <w:sz w:val="24"/>
        </w:rPr>
        <w:t> </w:t>
      </w:r>
      <w:r>
        <w:rPr>
          <w:sz w:val="24"/>
        </w:rPr>
        <w:t>implementation</w:t>
      </w:r>
      <w:r>
        <w:rPr>
          <w:spacing w:val="-3"/>
          <w:sz w:val="24"/>
        </w:rPr>
        <w:t> </w:t>
      </w:r>
      <w:r>
        <w:rPr>
          <w:sz w:val="24"/>
        </w:rPr>
        <w:t>of Section 103 of HOTMA by re-defining the two-year grace period as two consecutive reexamination cycles. If adopted, the waivers PH and HCV-2 and PH-7</w:t>
      </w:r>
      <w:r>
        <w:rPr>
          <w:spacing w:val="-4"/>
          <w:sz w:val="24"/>
        </w:rPr>
        <w:t> </w:t>
      </w:r>
      <w:r>
        <w:rPr>
          <w:sz w:val="24"/>
        </w:rPr>
        <w:t>would</w:t>
      </w:r>
      <w:r>
        <w:rPr>
          <w:spacing w:val="-3"/>
          <w:sz w:val="24"/>
        </w:rPr>
        <w:t> </w:t>
      </w:r>
      <w:r>
        <w:rPr>
          <w:sz w:val="24"/>
        </w:rPr>
        <w:t>have</w:t>
      </w:r>
      <w:r>
        <w:rPr>
          <w:spacing w:val="-5"/>
          <w:sz w:val="24"/>
        </w:rPr>
        <w:t> </w:t>
      </w:r>
      <w:r>
        <w:rPr>
          <w:sz w:val="24"/>
        </w:rPr>
        <w:t>resulted</w:t>
      </w:r>
      <w:r>
        <w:rPr>
          <w:spacing w:val="-3"/>
          <w:sz w:val="24"/>
        </w:rPr>
        <w:t> </w:t>
      </w:r>
      <w:r>
        <w:rPr>
          <w:sz w:val="24"/>
        </w:rPr>
        <w:t>in</w:t>
      </w:r>
      <w:r>
        <w:rPr>
          <w:spacing w:val="-3"/>
          <w:sz w:val="24"/>
        </w:rPr>
        <w:t> </w:t>
      </w:r>
      <w:r>
        <w:rPr>
          <w:sz w:val="24"/>
        </w:rPr>
        <w:t>an</w:t>
      </w:r>
      <w:r>
        <w:rPr>
          <w:spacing w:val="-3"/>
          <w:sz w:val="24"/>
        </w:rPr>
        <w:t> </w:t>
      </w:r>
      <w:r>
        <w:rPr>
          <w:sz w:val="24"/>
        </w:rPr>
        <w:t>extended</w:t>
      </w:r>
      <w:r>
        <w:rPr>
          <w:spacing w:val="-3"/>
          <w:sz w:val="24"/>
        </w:rPr>
        <w:t> </w:t>
      </w:r>
      <w:r>
        <w:rPr>
          <w:sz w:val="24"/>
        </w:rPr>
        <w:t>grace</w:t>
      </w:r>
      <w:r>
        <w:rPr>
          <w:spacing w:val="-4"/>
          <w:sz w:val="24"/>
        </w:rPr>
        <w:t> </w:t>
      </w:r>
      <w:r>
        <w:rPr>
          <w:sz w:val="24"/>
        </w:rPr>
        <w:t>period</w:t>
      </w:r>
      <w:r>
        <w:rPr>
          <w:spacing w:val="-3"/>
          <w:sz w:val="24"/>
        </w:rPr>
        <w:t> </w:t>
      </w:r>
      <w:r>
        <w:rPr>
          <w:sz w:val="24"/>
        </w:rPr>
        <w:t>for</w:t>
      </w:r>
      <w:r>
        <w:rPr>
          <w:spacing w:val="-4"/>
          <w:sz w:val="24"/>
        </w:rPr>
        <w:t> </w:t>
      </w:r>
      <w:r>
        <w:rPr>
          <w:sz w:val="24"/>
        </w:rPr>
        <w:t>families</w:t>
      </w:r>
      <w:r>
        <w:rPr>
          <w:spacing w:val="-3"/>
          <w:sz w:val="24"/>
        </w:rPr>
        <w:t> </w:t>
      </w:r>
      <w:r>
        <w:rPr>
          <w:sz w:val="24"/>
        </w:rPr>
        <w:t>determined</w:t>
      </w:r>
      <w:r>
        <w:rPr>
          <w:spacing w:val="-3"/>
          <w:sz w:val="24"/>
        </w:rPr>
        <w:t> </w:t>
      </w:r>
      <w:r>
        <w:rPr>
          <w:sz w:val="24"/>
        </w:rPr>
        <w:t>to be over-income. The period of availability ended on December 31, 2020.</w:t>
      </w:r>
    </w:p>
    <w:p>
      <w:pPr>
        <w:pStyle w:val="BodyText"/>
        <w:spacing w:before="11"/>
        <w:rPr>
          <w:sz w:val="23"/>
        </w:rPr>
      </w:pPr>
    </w:p>
    <w:p>
      <w:pPr>
        <w:pStyle w:val="ListParagraph"/>
        <w:numPr>
          <w:ilvl w:val="1"/>
          <w:numId w:val="2"/>
        </w:numPr>
        <w:tabs>
          <w:tab w:pos="839" w:val="left" w:leader="none"/>
          <w:tab w:pos="840" w:val="left" w:leader="none"/>
        </w:tabs>
        <w:spacing w:line="240" w:lineRule="auto" w:before="0" w:after="0"/>
        <w:ind w:left="840" w:right="1568" w:hanging="360"/>
        <w:jc w:val="left"/>
        <w:rPr>
          <w:sz w:val="24"/>
        </w:rPr>
      </w:pPr>
      <w:r>
        <w:rPr>
          <w:sz w:val="24"/>
        </w:rPr>
        <w:t>Notice</w:t>
      </w:r>
      <w:r>
        <w:rPr>
          <w:spacing w:val="-5"/>
          <w:sz w:val="24"/>
        </w:rPr>
        <w:t> </w:t>
      </w:r>
      <w:r>
        <w:rPr>
          <w:sz w:val="24"/>
        </w:rPr>
        <w:t>PIH</w:t>
      </w:r>
      <w:r>
        <w:rPr>
          <w:spacing w:val="-5"/>
          <w:sz w:val="24"/>
        </w:rPr>
        <w:t> </w:t>
      </w:r>
      <w:r>
        <w:rPr>
          <w:sz w:val="24"/>
        </w:rPr>
        <w:t>2020-13</w:t>
      </w:r>
      <w:r>
        <w:rPr>
          <w:spacing w:val="-4"/>
          <w:sz w:val="24"/>
        </w:rPr>
        <w:t> </w:t>
      </w:r>
      <w:r>
        <w:rPr>
          <w:sz w:val="24"/>
        </w:rPr>
        <w:t>(HA)</w:t>
      </w:r>
      <w:r>
        <w:rPr>
          <w:spacing w:val="-5"/>
          <w:sz w:val="24"/>
        </w:rPr>
        <w:t> </w:t>
      </w:r>
      <w:r>
        <w:rPr>
          <w:sz w:val="24"/>
        </w:rPr>
        <w:t>REV-1</w:t>
      </w:r>
      <w:r>
        <w:rPr>
          <w:spacing w:val="-4"/>
          <w:sz w:val="24"/>
        </w:rPr>
        <w:t> </w:t>
      </w:r>
      <w:r>
        <w:rPr>
          <w:sz w:val="24"/>
        </w:rPr>
        <w:t>-</w:t>
      </w:r>
      <w:r>
        <w:rPr>
          <w:spacing w:val="-5"/>
          <w:sz w:val="24"/>
        </w:rPr>
        <w:t> </w:t>
      </w:r>
      <w:r>
        <w:rPr>
          <w:sz w:val="24"/>
        </w:rPr>
        <w:t>COVID-19</w:t>
      </w:r>
      <w:r>
        <w:rPr>
          <w:spacing w:val="-4"/>
          <w:sz w:val="24"/>
        </w:rPr>
        <w:t> </w:t>
      </w:r>
      <w:r>
        <w:rPr>
          <w:sz w:val="24"/>
        </w:rPr>
        <w:t>Statutory</w:t>
      </w:r>
      <w:r>
        <w:rPr>
          <w:spacing w:val="-4"/>
          <w:sz w:val="24"/>
        </w:rPr>
        <w:t> </w:t>
      </w:r>
      <w:r>
        <w:rPr>
          <w:sz w:val="24"/>
        </w:rPr>
        <w:t>and</w:t>
      </w:r>
      <w:r>
        <w:rPr>
          <w:spacing w:val="-4"/>
          <w:sz w:val="24"/>
        </w:rPr>
        <w:t> </w:t>
      </w:r>
      <w:r>
        <w:rPr>
          <w:sz w:val="24"/>
        </w:rPr>
        <w:t>Regulatory</w:t>
      </w:r>
      <w:r>
        <w:rPr>
          <w:spacing w:val="-2"/>
          <w:sz w:val="24"/>
        </w:rPr>
        <w:t> </w:t>
      </w:r>
      <w:r>
        <w:rPr>
          <w:sz w:val="24"/>
        </w:rPr>
        <w:t>Waivers</w:t>
      </w:r>
      <w:r>
        <w:rPr>
          <w:spacing w:val="-2"/>
          <w:sz w:val="24"/>
        </w:rPr>
        <w:t> </w:t>
      </w:r>
      <w:r>
        <w:rPr>
          <w:sz w:val="24"/>
        </w:rPr>
        <w:t>and Alternative Requirements for the Public Housing, Housing Choice Voucher, Indian Housing Block Grant and Indian Community Development Block Grant programs, Suspension of Public Housing Assessment System and Section Eight Management Assessment Program, Revision 1. (July 2, 2020)</w:t>
      </w:r>
    </w:p>
    <w:p>
      <w:pPr>
        <w:pStyle w:val="ListParagraph"/>
        <w:numPr>
          <w:ilvl w:val="2"/>
          <w:numId w:val="2"/>
        </w:numPr>
        <w:tabs>
          <w:tab w:pos="1559" w:val="left" w:leader="none"/>
          <w:tab w:pos="1560" w:val="left" w:leader="none"/>
        </w:tabs>
        <w:spacing w:line="240" w:lineRule="auto" w:before="0" w:after="0"/>
        <w:ind w:left="1560" w:right="1434" w:hanging="360"/>
        <w:jc w:val="left"/>
        <w:rPr>
          <w:sz w:val="24"/>
        </w:rPr>
      </w:pPr>
      <w:r>
        <w:rPr>
          <w:sz w:val="24"/>
        </w:rPr>
        <w:t>This</w:t>
      </w:r>
      <w:r>
        <w:rPr>
          <w:spacing w:val="-4"/>
          <w:sz w:val="24"/>
        </w:rPr>
        <w:t> </w:t>
      </w:r>
      <w:r>
        <w:rPr>
          <w:sz w:val="24"/>
        </w:rPr>
        <w:t>notice</w:t>
      </w:r>
      <w:r>
        <w:rPr>
          <w:spacing w:val="-5"/>
          <w:sz w:val="24"/>
        </w:rPr>
        <w:t> </w:t>
      </w:r>
      <w:r>
        <w:rPr>
          <w:sz w:val="24"/>
        </w:rPr>
        <w:t>reiterated</w:t>
      </w:r>
      <w:r>
        <w:rPr>
          <w:spacing w:val="-4"/>
          <w:sz w:val="24"/>
        </w:rPr>
        <w:t> </w:t>
      </w:r>
      <w:r>
        <w:rPr>
          <w:sz w:val="24"/>
        </w:rPr>
        <w:t>the</w:t>
      </w:r>
      <w:r>
        <w:rPr>
          <w:spacing w:val="-3"/>
          <w:sz w:val="24"/>
        </w:rPr>
        <w:t> </w:t>
      </w:r>
      <w:r>
        <w:rPr>
          <w:sz w:val="24"/>
        </w:rPr>
        <w:t>alternative</w:t>
      </w:r>
      <w:r>
        <w:rPr>
          <w:spacing w:val="-5"/>
          <w:sz w:val="24"/>
        </w:rPr>
        <w:t> </w:t>
      </w:r>
      <w:r>
        <w:rPr>
          <w:sz w:val="24"/>
        </w:rPr>
        <w:t>requirements</w:t>
      </w:r>
      <w:r>
        <w:rPr>
          <w:spacing w:val="-2"/>
          <w:sz w:val="24"/>
        </w:rPr>
        <w:t> </w:t>
      </w:r>
      <w:r>
        <w:rPr>
          <w:sz w:val="24"/>
        </w:rPr>
        <w:t>given</w:t>
      </w:r>
      <w:r>
        <w:rPr>
          <w:spacing w:val="-4"/>
          <w:sz w:val="24"/>
        </w:rPr>
        <w:t> </w:t>
      </w:r>
      <w:r>
        <w:rPr>
          <w:sz w:val="24"/>
        </w:rPr>
        <w:t>in</w:t>
      </w:r>
      <w:r>
        <w:rPr>
          <w:spacing w:val="-4"/>
          <w:sz w:val="24"/>
        </w:rPr>
        <w:t> </w:t>
      </w:r>
      <w:r>
        <w:rPr>
          <w:sz w:val="24"/>
        </w:rPr>
        <w:t>Notice</w:t>
      </w:r>
      <w:r>
        <w:rPr>
          <w:spacing w:val="-5"/>
          <w:sz w:val="24"/>
        </w:rPr>
        <w:t> </w:t>
      </w:r>
      <w:r>
        <w:rPr>
          <w:sz w:val="24"/>
        </w:rPr>
        <w:t>PIH</w:t>
      </w:r>
      <w:r>
        <w:rPr>
          <w:spacing w:val="-5"/>
          <w:sz w:val="24"/>
        </w:rPr>
        <w:t> </w:t>
      </w:r>
      <w:r>
        <w:rPr>
          <w:sz w:val="24"/>
        </w:rPr>
        <w:t>2020-05. The period of availability ended on December 31, 2020.</w:t>
      </w:r>
    </w:p>
    <w:p>
      <w:pPr>
        <w:pStyle w:val="BodyText"/>
        <w:spacing w:before="1"/>
      </w:pPr>
    </w:p>
    <w:p>
      <w:pPr>
        <w:pStyle w:val="ListParagraph"/>
        <w:numPr>
          <w:ilvl w:val="1"/>
          <w:numId w:val="2"/>
        </w:numPr>
        <w:tabs>
          <w:tab w:pos="840" w:val="left" w:leader="none"/>
        </w:tabs>
        <w:spacing w:line="240" w:lineRule="auto" w:before="0" w:after="0"/>
        <w:ind w:left="840" w:right="1354" w:hanging="360"/>
        <w:jc w:val="left"/>
        <w:rPr>
          <w:sz w:val="24"/>
        </w:rPr>
      </w:pPr>
      <w:r>
        <w:rPr>
          <w:sz w:val="24"/>
        </w:rPr>
        <w:t>Notice PIH 2020-33(HA) REV-2 - COVID-19 Statutory and Regulatory Waivers and Alternative Requirements for the Public Housing, Housing Choice Voucher (including Mainstream and Mod Rehab), Indian Housing Block Grant and Indian Community Development</w:t>
      </w:r>
      <w:r>
        <w:rPr>
          <w:spacing w:val="-4"/>
          <w:sz w:val="24"/>
        </w:rPr>
        <w:t> </w:t>
      </w:r>
      <w:r>
        <w:rPr>
          <w:sz w:val="24"/>
        </w:rPr>
        <w:t>Block</w:t>
      </w:r>
      <w:r>
        <w:rPr>
          <w:spacing w:val="-4"/>
          <w:sz w:val="24"/>
        </w:rPr>
        <w:t> </w:t>
      </w:r>
      <w:r>
        <w:rPr>
          <w:sz w:val="24"/>
        </w:rPr>
        <w:t>Grant</w:t>
      </w:r>
      <w:r>
        <w:rPr>
          <w:spacing w:val="-5"/>
          <w:sz w:val="24"/>
        </w:rPr>
        <w:t> </w:t>
      </w:r>
      <w:r>
        <w:rPr>
          <w:sz w:val="24"/>
        </w:rPr>
        <w:t>programs,</w:t>
      </w:r>
      <w:r>
        <w:rPr>
          <w:spacing w:val="-4"/>
          <w:sz w:val="24"/>
        </w:rPr>
        <w:t> </w:t>
      </w:r>
      <w:r>
        <w:rPr>
          <w:sz w:val="24"/>
        </w:rPr>
        <w:t>Suspension</w:t>
      </w:r>
      <w:r>
        <w:rPr>
          <w:spacing w:val="-4"/>
          <w:sz w:val="24"/>
        </w:rPr>
        <w:t> </w:t>
      </w:r>
      <w:r>
        <w:rPr>
          <w:sz w:val="24"/>
        </w:rPr>
        <w:t>of</w:t>
      </w:r>
      <w:r>
        <w:rPr>
          <w:spacing w:val="-5"/>
          <w:sz w:val="24"/>
        </w:rPr>
        <w:t> </w:t>
      </w:r>
      <w:r>
        <w:rPr>
          <w:sz w:val="24"/>
        </w:rPr>
        <w:t>Public</w:t>
      </w:r>
      <w:r>
        <w:rPr>
          <w:spacing w:val="-5"/>
          <w:sz w:val="24"/>
        </w:rPr>
        <w:t> </w:t>
      </w:r>
      <w:r>
        <w:rPr>
          <w:sz w:val="24"/>
        </w:rPr>
        <w:t>Housing</w:t>
      </w:r>
      <w:r>
        <w:rPr>
          <w:spacing w:val="-4"/>
          <w:sz w:val="24"/>
        </w:rPr>
        <w:t> </w:t>
      </w:r>
      <w:r>
        <w:rPr>
          <w:sz w:val="24"/>
        </w:rPr>
        <w:t>Assessment</w:t>
      </w:r>
      <w:r>
        <w:rPr>
          <w:spacing w:val="-4"/>
          <w:sz w:val="24"/>
        </w:rPr>
        <w:t> </w:t>
      </w:r>
      <w:r>
        <w:rPr>
          <w:sz w:val="24"/>
        </w:rPr>
        <w:t>System and Section Eight Management Assessment Program,</w:t>
      </w:r>
      <w:r>
        <w:rPr>
          <w:spacing w:val="-1"/>
          <w:sz w:val="24"/>
        </w:rPr>
        <w:t> </w:t>
      </w:r>
      <w:r>
        <w:rPr>
          <w:sz w:val="24"/>
        </w:rPr>
        <w:t>Revision 2. (November</w:t>
      </w:r>
      <w:r>
        <w:rPr>
          <w:spacing w:val="-1"/>
          <w:sz w:val="24"/>
        </w:rPr>
        <w:t> </w:t>
      </w:r>
      <w:r>
        <w:rPr>
          <w:sz w:val="24"/>
        </w:rPr>
        <w:t>30, 2020)</w:t>
      </w:r>
    </w:p>
    <w:p>
      <w:pPr>
        <w:pStyle w:val="ListParagraph"/>
        <w:numPr>
          <w:ilvl w:val="2"/>
          <w:numId w:val="2"/>
        </w:numPr>
        <w:tabs>
          <w:tab w:pos="1559" w:val="left" w:leader="none"/>
          <w:tab w:pos="1560" w:val="left" w:leader="none"/>
        </w:tabs>
        <w:spacing w:line="240" w:lineRule="auto" w:before="0" w:after="0"/>
        <w:ind w:left="1560" w:right="1534" w:hanging="360"/>
        <w:jc w:val="left"/>
        <w:rPr>
          <w:sz w:val="24"/>
        </w:rPr>
      </w:pPr>
      <w:r>
        <w:rPr>
          <w:sz w:val="24"/>
        </w:rPr>
        <w:t>This notice added waiver PH-13 which temporarily waived the termination requirement</w:t>
      </w:r>
      <w:r>
        <w:rPr>
          <w:spacing w:val="-2"/>
          <w:sz w:val="24"/>
        </w:rPr>
        <w:t> </w:t>
      </w:r>
      <w:r>
        <w:rPr>
          <w:sz w:val="24"/>
        </w:rPr>
        <w:t>for</w:t>
      </w:r>
      <w:r>
        <w:rPr>
          <w:spacing w:val="-3"/>
          <w:sz w:val="24"/>
        </w:rPr>
        <w:t> </w:t>
      </w:r>
      <w:r>
        <w:rPr>
          <w:sz w:val="24"/>
        </w:rPr>
        <w:t>an</w:t>
      </w:r>
      <w:r>
        <w:rPr>
          <w:spacing w:val="-2"/>
          <w:sz w:val="24"/>
        </w:rPr>
        <w:t> </w:t>
      </w:r>
      <w:r>
        <w:rPr>
          <w:sz w:val="24"/>
        </w:rPr>
        <w:t>over-income</w:t>
      </w:r>
      <w:r>
        <w:rPr>
          <w:spacing w:val="-4"/>
          <w:sz w:val="24"/>
        </w:rPr>
        <w:t> </w:t>
      </w:r>
      <w:r>
        <w:rPr>
          <w:sz w:val="24"/>
        </w:rPr>
        <w:t>family.</w:t>
      </w:r>
      <w:r>
        <w:rPr>
          <w:spacing w:val="-2"/>
          <w:sz w:val="24"/>
        </w:rPr>
        <w:t> </w:t>
      </w:r>
      <w:r>
        <w:rPr>
          <w:sz w:val="24"/>
        </w:rPr>
        <w:t>As</w:t>
      </w:r>
      <w:r>
        <w:rPr>
          <w:spacing w:val="-2"/>
          <w:sz w:val="24"/>
        </w:rPr>
        <w:t> </w:t>
      </w:r>
      <w:r>
        <w:rPr>
          <w:sz w:val="24"/>
        </w:rPr>
        <w:t>the</w:t>
      </w:r>
      <w:r>
        <w:rPr>
          <w:spacing w:val="-3"/>
          <w:sz w:val="24"/>
        </w:rPr>
        <w:t> </w:t>
      </w:r>
      <w:r>
        <w:rPr>
          <w:sz w:val="24"/>
        </w:rPr>
        <w:t>final</w:t>
      </w:r>
      <w:r>
        <w:rPr>
          <w:spacing w:val="-2"/>
          <w:sz w:val="24"/>
        </w:rPr>
        <w:t> </w:t>
      </w:r>
      <w:r>
        <w:rPr>
          <w:sz w:val="24"/>
        </w:rPr>
        <w:t>rule</w:t>
      </w:r>
      <w:r>
        <w:rPr>
          <w:spacing w:val="-3"/>
          <w:sz w:val="24"/>
        </w:rPr>
        <w:t> </w:t>
      </w:r>
      <w:r>
        <w:rPr>
          <w:sz w:val="24"/>
        </w:rPr>
        <w:t>was</w:t>
      </w:r>
      <w:r>
        <w:rPr>
          <w:spacing w:val="-2"/>
          <w:sz w:val="24"/>
        </w:rPr>
        <w:t> </w:t>
      </w:r>
      <w:r>
        <w:rPr>
          <w:sz w:val="24"/>
        </w:rPr>
        <w:t>not</w:t>
      </w:r>
      <w:r>
        <w:rPr>
          <w:spacing w:val="-2"/>
          <w:sz w:val="24"/>
        </w:rPr>
        <w:t> </w:t>
      </w:r>
      <w:r>
        <w:rPr>
          <w:sz w:val="24"/>
        </w:rPr>
        <w:t>yet complete, this</w:t>
      </w:r>
      <w:r>
        <w:rPr>
          <w:spacing w:val="-3"/>
          <w:sz w:val="24"/>
        </w:rPr>
        <w:t> </w:t>
      </w:r>
      <w:r>
        <w:rPr>
          <w:sz w:val="24"/>
        </w:rPr>
        <w:t>waiver</w:t>
      </w:r>
      <w:r>
        <w:rPr>
          <w:spacing w:val="-3"/>
          <w:sz w:val="24"/>
        </w:rPr>
        <w:t> </w:t>
      </w:r>
      <w:r>
        <w:rPr>
          <w:sz w:val="24"/>
        </w:rPr>
        <w:t>also</w:t>
      </w:r>
      <w:r>
        <w:rPr>
          <w:spacing w:val="-3"/>
          <w:sz w:val="24"/>
        </w:rPr>
        <w:t> </w:t>
      </w:r>
      <w:r>
        <w:rPr>
          <w:sz w:val="24"/>
        </w:rPr>
        <w:t>permitted</w:t>
      </w:r>
      <w:r>
        <w:rPr>
          <w:spacing w:val="-3"/>
          <w:sz w:val="24"/>
        </w:rPr>
        <w:t> </w:t>
      </w:r>
      <w:r>
        <w:rPr>
          <w:sz w:val="24"/>
        </w:rPr>
        <w:t>PHAs</w:t>
      </w:r>
      <w:r>
        <w:rPr>
          <w:spacing w:val="-3"/>
          <w:sz w:val="24"/>
        </w:rPr>
        <w:t> </w:t>
      </w:r>
      <w:r>
        <w:rPr>
          <w:sz w:val="24"/>
        </w:rPr>
        <w:t>to</w:t>
      </w:r>
      <w:r>
        <w:rPr>
          <w:spacing w:val="-3"/>
          <w:sz w:val="24"/>
        </w:rPr>
        <w:t> </w:t>
      </w:r>
      <w:r>
        <w:rPr>
          <w:sz w:val="24"/>
        </w:rPr>
        <w:t>charge</w:t>
      </w:r>
      <w:r>
        <w:rPr>
          <w:spacing w:val="-3"/>
          <w:sz w:val="24"/>
        </w:rPr>
        <w:t> </w:t>
      </w:r>
      <w:r>
        <w:rPr>
          <w:sz w:val="24"/>
        </w:rPr>
        <w:t>over-income</w:t>
      </w:r>
      <w:r>
        <w:rPr>
          <w:spacing w:val="-4"/>
          <w:sz w:val="24"/>
        </w:rPr>
        <w:t> </w:t>
      </w:r>
      <w:r>
        <w:rPr>
          <w:sz w:val="24"/>
        </w:rPr>
        <w:t>families</w:t>
      </w:r>
      <w:r>
        <w:rPr>
          <w:spacing w:val="-3"/>
          <w:sz w:val="24"/>
        </w:rPr>
        <w:t> </w:t>
      </w:r>
      <w:r>
        <w:rPr>
          <w:sz w:val="24"/>
        </w:rPr>
        <w:t>the</w:t>
      </w:r>
      <w:r>
        <w:rPr>
          <w:spacing w:val="-3"/>
          <w:sz w:val="24"/>
        </w:rPr>
        <w:t> </w:t>
      </w:r>
      <w:r>
        <w:rPr>
          <w:sz w:val="24"/>
        </w:rPr>
        <w:t>applicable FMR</w:t>
      </w:r>
      <w:r>
        <w:rPr>
          <w:spacing w:val="-2"/>
          <w:sz w:val="24"/>
        </w:rPr>
        <w:t> </w:t>
      </w:r>
      <w:r>
        <w:rPr>
          <w:sz w:val="24"/>
        </w:rPr>
        <w:t>as</w:t>
      </w:r>
      <w:r>
        <w:rPr>
          <w:spacing w:val="-3"/>
          <w:sz w:val="24"/>
        </w:rPr>
        <w:t> </w:t>
      </w:r>
      <w:r>
        <w:rPr>
          <w:sz w:val="24"/>
        </w:rPr>
        <w:t>the</w:t>
      </w:r>
      <w:r>
        <w:rPr>
          <w:spacing w:val="-4"/>
          <w:sz w:val="24"/>
        </w:rPr>
        <w:t> </w:t>
      </w:r>
      <w:r>
        <w:rPr>
          <w:sz w:val="24"/>
        </w:rPr>
        <w:t>alternative</w:t>
      </w:r>
      <w:r>
        <w:rPr>
          <w:spacing w:val="-5"/>
          <w:sz w:val="24"/>
        </w:rPr>
        <w:t> </w:t>
      </w:r>
      <w:r>
        <w:rPr>
          <w:sz w:val="24"/>
        </w:rPr>
        <w:t>rent.</w:t>
      </w:r>
      <w:r>
        <w:rPr>
          <w:spacing w:val="-3"/>
          <w:sz w:val="24"/>
        </w:rPr>
        <w:t> </w:t>
      </w:r>
      <w:r>
        <w:rPr>
          <w:sz w:val="24"/>
        </w:rPr>
        <w:t>The</w:t>
      </w:r>
      <w:r>
        <w:rPr>
          <w:spacing w:val="-5"/>
          <w:sz w:val="24"/>
        </w:rPr>
        <w:t> </w:t>
      </w:r>
      <w:r>
        <w:rPr>
          <w:sz w:val="24"/>
        </w:rPr>
        <w:t>period</w:t>
      </w:r>
      <w:r>
        <w:rPr>
          <w:spacing w:val="-3"/>
          <w:sz w:val="24"/>
        </w:rPr>
        <w:t> </w:t>
      </w:r>
      <w:r>
        <w:rPr>
          <w:sz w:val="24"/>
        </w:rPr>
        <w:t>of</w:t>
      </w:r>
      <w:r>
        <w:rPr>
          <w:spacing w:val="-4"/>
          <w:sz w:val="24"/>
        </w:rPr>
        <w:t> </w:t>
      </w:r>
      <w:r>
        <w:rPr>
          <w:sz w:val="24"/>
        </w:rPr>
        <w:t>availability</w:t>
      </w:r>
      <w:r>
        <w:rPr>
          <w:spacing w:val="-3"/>
          <w:sz w:val="24"/>
        </w:rPr>
        <w:t> </w:t>
      </w:r>
      <w:r>
        <w:rPr>
          <w:sz w:val="24"/>
        </w:rPr>
        <w:t>ended</w:t>
      </w:r>
      <w:r>
        <w:rPr>
          <w:spacing w:val="-3"/>
          <w:sz w:val="24"/>
        </w:rPr>
        <w:t> </w:t>
      </w:r>
      <w:r>
        <w:rPr>
          <w:sz w:val="24"/>
        </w:rPr>
        <w:t>on</w:t>
      </w:r>
      <w:r>
        <w:rPr>
          <w:spacing w:val="-3"/>
          <w:sz w:val="24"/>
        </w:rPr>
        <w:t> </w:t>
      </w:r>
      <w:r>
        <w:rPr>
          <w:sz w:val="24"/>
        </w:rPr>
        <w:t>June</w:t>
      </w:r>
      <w:r>
        <w:rPr>
          <w:spacing w:val="-5"/>
          <w:sz w:val="24"/>
        </w:rPr>
        <w:t> </w:t>
      </w:r>
      <w:r>
        <w:rPr>
          <w:sz w:val="24"/>
        </w:rPr>
        <w:t>30,</w:t>
      </w:r>
      <w:r>
        <w:rPr>
          <w:spacing w:val="-3"/>
          <w:sz w:val="24"/>
        </w:rPr>
        <w:t> </w:t>
      </w:r>
      <w:r>
        <w:rPr>
          <w:sz w:val="24"/>
        </w:rPr>
        <w:t>2021.</w:t>
      </w:r>
    </w:p>
    <w:p>
      <w:pPr>
        <w:spacing w:after="0" w:line="240" w:lineRule="auto"/>
        <w:jc w:val="left"/>
        <w:rPr>
          <w:sz w:val="24"/>
        </w:rPr>
        <w:sectPr>
          <w:pgSz w:w="12240" w:h="15840"/>
          <w:pgMar w:header="0" w:footer="1033" w:top="1360" w:bottom="1220" w:left="1320" w:right="240"/>
        </w:sectPr>
      </w:pPr>
    </w:p>
    <w:p>
      <w:pPr>
        <w:pStyle w:val="ListParagraph"/>
        <w:numPr>
          <w:ilvl w:val="1"/>
          <w:numId w:val="2"/>
        </w:numPr>
        <w:tabs>
          <w:tab w:pos="840" w:val="left" w:leader="none"/>
        </w:tabs>
        <w:spacing w:line="240" w:lineRule="auto" w:before="79" w:after="0"/>
        <w:ind w:left="840" w:right="1777" w:hanging="360"/>
        <w:jc w:val="left"/>
        <w:rPr>
          <w:sz w:val="24"/>
        </w:rPr>
      </w:pPr>
      <w:r>
        <w:rPr>
          <w:sz w:val="24"/>
        </w:rPr>
        <w:t>85</w:t>
      </w:r>
      <w:r>
        <w:rPr>
          <w:spacing w:val="-4"/>
          <w:sz w:val="24"/>
        </w:rPr>
        <w:t> </w:t>
      </w:r>
      <w:r>
        <w:rPr>
          <w:sz w:val="24"/>
        </w:rPr>
        <w:t>FR</w:t>
      </w:r>
      <w:r>
        <w:rPr>
          <w:spacing w:val="-4"/>
          <w:sz w:val="24"/>
        </w:rPr>
        <w:t> </w:t>
      </w:r>
      <w:r>
        <w:rPr>
          <w:sz w:val="24"/>
        </w:rPr>
        <w:t>78295</w:t>
      </w:r>
      <w:r>
        <w:rPr>
          <w:spacing w:val="-4"/>
          <w:sz w:val="24"/>
        </w:rPr>
        <w:t> </w:t>
      </w:r>
      <w:r>
        <w:rPr>
          <w:sz w:val="24"/>
        </w:rPr>
        <w:t>-</w:t>
      </w:r>
      <w:r>
        <w:rPr>
          <w:spacing w:val="-5"/>
          <w:sz w:val="24"/>
        </w:rPr>
        <w:t> </w:t>
      </w:r>
      <w:r>
        <w:rPr>
          <w:sz w:val="24"/>
        </w:rPr>
        <w:t>Proposed</w:t>
      </w:r>
      <w:r>
        <w:rPr>
          <w:spacing w:val="-2"/>
          <w:sz w:val="24"/>
        </w:rPr>
        <w:t> </w:t>
      </w:r>
      <w:r>
        <w:rPr>
          <w:sz w:val="24"/>
        </w:rPr>
        <w:t>Rule:</w:t>
      </w:r>
      <w:r>
        <w:rPr>
          <w:spacing w:val="-4"/>
          <w:sz w:val="24"/>
        </w:rPr>
        <w:t> </w:t>
      </w:r>
      <w:r>
        <w:rPr>
          <w:sz w:val="24"/>
        </w:rPr>
        <w:t>Housing</w:t>
      </w:r>
      <w:r>
        <w:rPr>
          <w:spacing w:val="-4"/>
          <w:sz w:val="24"/>
        </w:rPr>
        <w:t> </w:t>
      </w:r>
      <w:r>
        <w:rPr>
          <w:sz w:val="24"/>
        </w:rPr>
        <w:t>Opportunity</w:t>
      </w:r>
      <w:r>
        <w:rPr>
          <w:spacing w:val="-4"/>
          <w:sz w:val="24"/>
        </w:rPr>
        <w:t> </w:t>
      </w:r>
      <w:r>
        <w:rPr>
          <w:sz w:val="24"/>
        </w:rPr>
        <w:t>Through</w:t>
      </w:r>
      <w:r>
        <w:rPr>
          <w:spacing w:val="-4"/>
          <w:sz w:val="24"/>
        </w:rPr>
        <w:t> </w:t>
      </w:r>
      <w:r>
        <w:rPr>
          <w:sz w:val="24"/>
        </w:rPr>
        <w:t>Modernization</w:t>
      </w:r>
      <w:r>
        <w:rPr>
          <w:spacing w:val="-4"/>
          <w:sz w:val="24"/>
        </w:rPr>
        <w:t> </w:t>
      </w:r>
      <w:r>
        <w:rPr>
          <w:sz w:val="24"/>
        </w:rPr>
        <w:t>Act</w:t>
      </w:r>
      <w:r>
        <w:rPr>
          <w:spacing w:val="-4"/>
          <w:sz w:val="24"/>
        </w:rPr>
        <w:t> </w:t>
      </w:r>
      <w:r>
        <w:rPr>
          <w:sz w:val="24"/>
        </w:rPr>
        <w:t>of 2016: Re-Opening Public Comment Period on Subject of Over Income Families (December 4, 2020). (2020 FR Notice)</w:t>
      </w:r>
    </w:p>
    <w:p>
      <w:pPr>
        <w:pStyle w:val="ListParagraph"/>
        <w:numPr>
          <w:ilvl w:val="2"/>
          <w:numId w:val="2"/>
        </w:numPr>
        <w:tabs>
          <w:tab w:pos="1559" w:val="left" w:leader="none"/>
          <w:tab w:pos="1560" w:val="left" w:leader="none"/>
        </w:tabs>
        <w:spacing w:line="240" w:lineRule="auto" w:before="0" w:after="0"/>
        <w:ind w:left="1560" w:right="1298" w:hanging="360"/>
        <w:jc w:val="left"/>
        <w:rPr>
          <w:sz w:val="24"/>
        </w:rPr>
      </w:pPr>
      <w:r>
        <w:rPr>
          <w:sz w:val="24"/>
        </w:rPr>
        <w:t>HUD</w:t>
      </w:r>
      <w:r>
        <w:rPr>
          <w:spacing w:val="-4"/>
          <w:sz w:val="24"/>
        </w:rPr>
        <w:t> </w:t>
      </w:r>
      <w:r>
        <w:rPr>
          <w:sz w:val="24"/>
        </w:rPr>
        <w:t>issued</w:t>
      </w:r>
      <w:r>
        <w:rPr>
          <w:spacing w:val="-3"/>
          <w:sz w:val="24"/>
        </w:rPr>
        <w:t> </w:t>
      </w:r>
      <w:r>
        <w:rPr>
          <w:sz w:val="24"/>
        </w:rPr>
        <w:t>this</w:t>
      </w:r>
      <w:r>
        <w:rPr>
          <w:spacing w:val="-3"/>
          <w:sz w:val="24"/>
        </w:rPr>
        <w:t> </w:t>
      </w:r>
      <w:r>
        <w:rPr>
          <w:sz w:val="24"/>
        </w:rPr>
        <w:t>notice</w:t>
      </w:r>
      <w:r>
        <w:rPr>
          <w:spacing w:val="-4"/>
          <w:sz w:val="24"/>
        </w:rPr>
        <w:t> </w:t>
      </w:r>
      <w:r>
        <w:rPr>
          <w:sz w:val="24"/>
        </w:rPr>
        <w:t>to</w:t>
      </w:r>
      <w:r>
        <w:rPr>
          <w:spacing w:val="-3"/>
          <w:sz w:val="24"/>
        </w:rPr>
        <w:t> </w:t>
      </w:r>
      <w:r>
        <w:rPr>
          <w:sz w:val="24"/>
        </w:rPr>
        <w:t>seek</w:t>
      </w:r>
      <w:r>
        <w:rPr>
          <w:spacing w:val="-3"/>
          <w:sz w:val="24"/>
        </w:rPr>
        <w:t> </w:t>
      </w:r>
      <w:r>
        <w:rPr>
          <w:sz w:val="24"/>
        </w:rPr>
        <w:t>additional</w:t>
      </w:r>
      <w:r>
        <w:rPr>
          <w:spacing w:val="-3"/>
          <w:sz w:val="24"/>
        </w:rPr>
        <w:t> </w:t>
      </w:r>
      <w:r>
        <w:rPr>
          <w:sz w:val="24"/>
        </w:rPr>
        <w:t>public</w:t>
      </w:r>
      <w:r>
        <w:rPr>
          <w:spacing w:val="-5"/>
          <w:sz w:val="24"/>
        </w:rPr>
        <w:t> </w:t>
      </w:r>
      <w:r>
        <w:rPr>
          <w:sz w:val="24"/>
        </w:rPr>
        <w:t>comment</w:t>
      </w:r>
      <w:r>
        <w:rPr>
          <w:spacing w:val="-3"/>
          <w:sz w:val="24"/>
        </w:rPr>
        <w:t> </w:t>
      </w:r>
      <w:r>
        <w:rPr>
          <w:sz w:val="24"/>
        </w:rPr>
        <w:t>on</w:t>
      </w:r>
      <w:r>
        <w:rPr>
          <w:spacing w:val="-3"/>
          <w:sz w:val="24"/>
        </w:rPr>
        <w:t> </w:t>
      </w:r>
      <w:r>
        <w:rPr>
          <w:sz w:val="24"/>
        </w:rPr>
        <w:t>the</w:t>
      </w:r>
      <w:r>
        <w:rPr>
          <w:spacing w:val="-4"/>
          <w:sz w:val="24"/>
        </w:rPr>
        <w:t> </w:t>
      </w:r>
      <w:r>
        <w:rPr>
          <w:sz w:val="24"/>
        </w:rPr>
        <w:t>implementation of the public housing over-income limit, specifically on a PHAs' discretion in addressing over-income families. These comments were used to inform the development of the final rule.</w:t>
      </w:r>
    </w:p>
    <w:p>
      <w:pPr>
        <w:pStyle w:val="BodyText"/>
        <w:spacing w:before="10"/>
        <w:rPr>
          <w:sz w:val="23"/>
        </w:rPr>
      </w:pPr>
    </w:p>
    <w:p>
      <w:pPr>
        <w:pStyle w:val="ListParagraph"/>
        <w:numPr>
          <w:ilvl w:val="1"/>
          <w:numId w:val="2"/>
        </w:numPr>
        <w:tabs>
          <w:tab w:pos="839" w:val="left" w:leader="none"/>
          <w:tab w:pos="840" w:val="left" w:leader="none"/>
        </w:tabs>
        <w:spacing w:line="240" w:lineRule="auto" w:before="0" w:after="0"/>
        <w:ind w:left="840" w:right="1354" w:hanging="360"/>
        <w:jc w:val="left"/>
        <w:rPr>
          <w:sz w:val="24"/>
        </w:rPr>
      </w:pPr>
      <w:r>
        <w:rPr>
          <w:sz w:val="24"/>
        </w:rPr>
        <w:t>Notice PIH 2021-14 (HA) - COVID-19 Statutory and Regulatory Waivers and Alternative Requirements for the Public Housing, Housing Choice Voucher (including Mainstream and Mod Rehab), Indian Housing Block Grant and Indian Community Development</w:t>
      </w:r>
      <w:r>
        <w:rPr>
          <w:spacing w:val="-4"/>
          <w:sz w:val="24"/>
        </w:rPr>
        <w:t> </w:t>
      </w:r>
      <w:r>
        <w:rPr>
          <w:sz w:val="24"/>
        </w:rPr>
        <w:t>Block</w:t>
      </w:r>
      <w:r>
        <w:rPr>
          <w:spacing w:val="-4"/>
          <w:sz w:val="24"/>
        </w:rPr>
        <w:t> </w:t>
      </w:r>
      <w:r>
        <w:rPr>
          <w:sz w:val="24"/>
        </w:rPr>
        <w:t>Grant</w:t>
      </w:r>
      <w:r>
        <w:rPr>
          <w:spacing w:val="-5"/>
          <w:sz w:val="24"/>
        </w:rPr>
        <w:t> </w:t>
      </w:r>
      <w:r>
        <w:rPr>
          <w:sz w:val="24"/>
        </w:rPr>
        <w:t>programs,</w:t>
      </w:r>
      <w:r>
        <w:rPr>
          <w:spacing w:val="-4"/>
          <w:sz w:val="24"/>
        </w:rPr>
        <w:t> </w:t>
      </w:r>
      <w:r>
        <w:rPr>
          <w:sz w:val="24"/>
        </w:rPr>
        <w:t>Suspension</w:t>
      </w:r>
      <w:r>
        <w:rPr>
          <w:spacing w:val="-4"/>
          <w:sz w:val="24"/>
        </w:rPr>
        <w:t> </w:t>
      </w:r>
      <w:r>
        <w:rPr>
          <w:sz w:val="24"/>
        </w:rPr>
        <w:t>of</w:t>
      </w:r>
      <w:r>
        <w:rPr>
          <w:spacing w:val="-5"/>
          <w:sz w:val="24"/>
        </w:rPr>
        <w:t> </w:t>
      </w:r>
      <w:r>
        <w:rPr>
          <w:sz w:val="24"/>
        </w:rPr>
        <w:t>Public</w:t>
      </w:r>
      <w:r>
        <w:rPr>
          <w:spacing w:val="-5"/>
          <w:sz w:val="24"/>
        </w:rPr>
        <w:t> </w:t>
      </w:r>
      <w:r>
        <w:rPr>
          <w:sz w:val="24"/>
        </w:rPr>
        <w:t>Housing</w:t>
      </w:r>
      <w:r>
        <w:rPr>
          <w:spacing w:val="-4"/>
          <w:sz w:val="24"/>
        </w:rPr>
        <w:t> </w:t>
      </w:r>
      <w:r>
        <w:rPr>
          <w:sz w:val="24"/>
        </w:rPr>
        <w:t>Assessment</w:t>
      </w:r>
      <w:r>
        <w:rPr>
          <w:spacing w:val="-4"/>
          <w:sz w:val="24"/>
        </w:rPr>
        <w:t> </w:t>
      </w:r>
      <w:r>
        <w:rPr>
          <w:sz w:val="24"/>
        </w:rPr>
        <w:t>System and Section Eight Management Assessment Program, Revision 3. (May 4, 2021)</w:t>
      </w:r>
    </w:p>
    <w:p>
      <w:pPr>
        <w:pStyle w:val="ListParagraph"/>
        <w:numPr>
          <w:ilvl w:val="2"/>
          <w:numId w:val="2"/>
        </w:numPr>
        <w:tabs>
          <w:tab w:pos="1559" w:val="left" w:leader="none"/>
          <w:tab w:pos="1560" w:val="left" w:leader="none"/>
        </w:tabs>
        <w:spacing w:line="240" w:lineRule="auto" w:before="0" w:after="0"/>
        <w:ind w:left="1560" w:right="1346" w:hanging="360"/>
        <w:jc w:val="left"/>
        <w:rPr>
          <w:sz w:val="24"/>
        </w:rPr>
      </w:pPr>
      <w:r>
        <w:rPr>
          <w:sz w:val="24"/>
        </w:rPr>
        <w:t>This</w:t>
      </w:r>
      <w:r>
        <w:rPr>
          <w:spacing w:val="-4"/>
          <w:sz w:val="24"/>
        </w:rPr>
        <w:t> </w:t>
      </w:r>
      <w:r>
        <w:rPr>
          <w:sz w:val="24"/>
        </w:rPr>
        <w:t>notice</w:t>
      </w:r>
      <w:r>
        <w:rPr>
          <w:spacing w:val="-5"/>
          <w:sz w:val="24"/>
        </w:rPr>
        <w:t> </w:t>
      </w:r>
      <w:r>
        <w:rPr>
          <w:sz w:val="24"/>
        </w:rPr>
        <w:t>reiterated</w:t>
      </w:r>
      <w:r>
        <w:rPr>
          <w:spacing w:val="-4"/>
          <w:sz w:val="24"/>
        </w:rPr>
        <w:t> </w:t>
      </w:r>
      <w:r>
        <w:rPr>
          <w:sz w:val="24"/>
        </w:rPr>
        <w:t>the</w:t>
      </w:r>
      <w:r>
        <w:rPr>
          <w:spacing w:val="-3"/>
          <w:sz w:val="24"/>
        </w:rPr>
        <w:t> </w:t>
      </w:r>
      <w:r>
        <w:rPr>
          <w:sz w:val="24"/>
        </w:rPr>
        <w:t>alternative</w:t>
      </w:r>
      <w:r>
        <w:rPr>
          <w:spacing w:val="-5"/>
          <w:sz w:val="24"/>
        </w:rPr>
        <w:t> </w:t>
      </w:r>
      <w:r>
        <w:rPr>
          <w:sz w:val="24"/>
        </w:rPr>
        <w:t>requirements</w:t>
      </w:r>
      <w:r>
        <w:rPr>
          <w:spacing w:val="-2"/>
          <w:sz w:val="24"/>
        </w:rPr>
        <w:t> </w:t>
      </w:r>
      <w:r>
        <w:rPr>
          <w:sz w:val="24"/>
        </w:rPr>
        <w:t>permitted</w:t>
      </w:r>
      <w:r>
        <w:rPr>
          <w:spacing w:val="-4"/>
          <w:sz w:val="24"/>
        </w:rPr>
        <w:t> </w:t>
      </w:r>
      <w:r>
        <w:rPr>
          <w:sz w:val="24"/>
        </w:rPr>
        <w:t>in</w:t>
      </w:r>
      <w:r>
        <w:rPr>
          <w:spacing w:val="-4"/>
          <w:sz w:val="24"/>
        </w:rPr>
        <w:t> </w:t>
      </w:r>
      <w:r>
        <w:rPr>
          <w:sz w:val="24"/>
        </w:rPr>
        <w:t>Notice</w:t>
      </w:r>
      <w:r>
        <w:rPr>
          <w:spacing w:val="-5"/>
          <w:sz w:val="24"/>
        </w:rPr>
        <w:t> </w:t>
      </w:r>
      <w:r>
        <w:rPr>
          <w:sz w:val="24"/>
        </w:rPr>
        <w:t>PIH</w:t>
      </w:r>
      <w:r>
        <w:rPr>
          <w:spacing w:val="-2"/>
          <w:sz w:val="24"/>
        </w:rPr>
        <w:t> </w:t>
      </w:r>
      <w:r>
        <w:rPr>
          <w:sz w:val="24"/>
        </w:rPr>
        <w:t>2020- 33 and extended the period of availability. The period of availability ended on December 31, 2021.</w:t>
      </w:r>
    </w:p>
    <w:p>
      <w:pPr>
        <w:pStyle w:val="BodyText"/>
        <w:spacing w:before="11"/>
        <w:rPr>
          <w:sz w:val="23"/>
        </w:rPr>
      </w:pPr>
    </w:p>
    <w:p>
      <w:pPr>
        <w:pStyle w:val="ListParagraph"/>
        <w:numPr>
          <w:ilvl w:val="1"/>
          <w:numId w:val="2"/>
        </w:numPr>
        <w:tabs>
          <w:tab w:pos="839" w:val="left" w:leader="none"/>
          <w:tab w:pos="840" w:val="left" w:leader="none"/>
        </w:tabs>
        <w:spacing w:line="240" w:lineRule="auto" w:before="0" w:after="0"/>
        <w:ind w:left="840" w:right="1302" w:hanging="360"/>
        <w:jc w:val="left"/>
        <w:rPr>
          <w:sz w:val="24"/>
        </w:rPr>
      </w:pPr>
      <w:r>
        <w:rPr>
          <w:sz w:val="24"/>
        </w:rPr>
        <w:t>Frequently Asked Questions (FAQs): Implementing the Housing Opportunity Through Modernization Act (HOTMA) Public Housing Income Limit. (January 28, 2022). </w:t>
      </w:r>
      <w:r>
        <w:rPr>
          <w:spacing w:val="-2"/>
          <w:sz w:val="24"/>
        </w:rPr>
        <w:t>(</w:t>
      </w:r>
      <w:hyperlink r:id="rId8">
        <w:r>
          <w:rPr>
            <w:color w:val="0562C1"/>
            <w:spacing w:val="-2"/>
            <w:sz w:val="24"/>
            <w:u w:val="single" w:color="0562C1"/>
          </w:rPr>
          <w:t>https://www.hud.gov/sites/dfiles/PIH/documents/HOTMA%20Public%20Housing%20I</w:t>
        </w:r>
      </w:hyperlink>
      <w:r>
        <w:rPr>
          <w:color w:val="0562C1"/>
          <w:spacing w:val="-2"/>
          <w:sz w:val="24"/>
        </w:rPr>
        <w:t> </w:t>
      </w:r>
      <w:hyperlink r:id="rId8">
        <w:r>
          <w:rPr>
            <w:color w:val="0562C1"/>
            <w:spacing w:val="-2"/>
            <w:sz w:val="24"/>
            <w:u w:val="single" w:color="0562C1"/>
          </w:rPr>
          <w:t>ncome%20Limit.pdf</w:t>
        </w:r>
      </w:hyperlink>
      <w:r>
        <w:rPr>
          <w:spacing w:val="-2"/>
          <w:sz w:val="24"/>
        </w:rPr>
        <w:t>)</w:t>
      </w:r>
    </w:p>
    <w:p>
      <w:pPr>
        <w:pStyle w:val="ListParagraph"/>
        <w:numPr>
          <w:ilvl w:val="2"/>
          <w:numId w:val="2"/>
        </w:numPr>
        <w:tabs>
          <w:tab w:pos="1559" w:val="left" w:leader="none"/>
          <w:tab w:pos="1560" w:val="left" w:leader="none"/>
        </w:tabs>
        <w:spacing w:line="240" w:lineRule="auto" w:before="0" w:after="0"/>
        <w:ind w:left="1560" w:right="1295" w:hanging="360"/>
        <w:jc w:val="left"/>
        <w:rPr>
          <w:sz w:val="24"/>
        </w:rPr>
      </w:pPr>
      <w:r>
        <w:rPr>
          <w:sz w:val="24"/>
        </w:rPr>
        <w:t>This FAQ was published to address the gap in guidance left by the expiration of the CARES Act authority to charge over-income families the FMR as the alternative</w:t>
      </w:r>
      <w:r>
        <w:rPr>
          <w:spacing w:val="-3"/>
          <w:sz w:val="24"/>
        </w:rPr>
        <w:t> </w:t>
      </w:r>
      <w:r>
        <w:rPr>
          <w:sz w:val="24"/>
        </w:rPr>
        <w:t>rent.</w:t>
      </w:r>
      <w:r>
        <w:rPr>
          <w:spacing w:val="-2"/>
          <w:sz w:val="24"/>
        </w:rPr>
        <w:t> </w:t>
      </w:r>
      <w:r>
        <w:rPr>
          <w:sz w:val="24"/>
        </w:rPr>
        <w:t>The</w:t>
      </w:r>
      <w:r>
        <w:rPr>
          <w:spacing w:val="-4"/>
          <w:sz w:val="24"/>
        </w:rPr>
        <w:t> </w:t>
      </w:r>
      <w:r>
        <w:rPr>
          <w:sz w:val="24"/>
        </w:rPr>
        <w:t>guidance</w:t>
      </w:r>
      <w:r>
        <w:rPr>
          <w:spacing w:val="-1"/>
          <w:sz w:val="24"/>
        </w:rPr>
        <w:t> </w:t>
      </w:r>
      <w:r>
        <w:rPr>
          <w:sz w:val="24"/>
        </w:rPr>
        <w:t>confirmed</w:t>
      </w:r>
      <w:r>
        <w:rPr>
          <w:spacing w:val="-2"/>
          <w:sz w:val="24"/>
        </w:rPr>
        <w:t> </w:t>
      </w:r>
      <w:r>
        <w:rPr>
          <w:sz w:val="24"/>
        </w:rPr>
        <w:t>that</w:t>
      </w:r>
      <w:r>
        <w:rPr>
          <w:spacing w:val="-2"/>
          <w:sz w:val="24"/>
        </w:rPr>
        <w:t> </w:t>
      </w:r>
      <w:r>
        <w:rPr>
          <w:sz w:val="24"/>
        </w:rPr>
        <w:t>a</w:t>
      </w:r>
      <w:r>
        <w:rPr>
          <w:spacing w:val="-3"/>
          <w:sz w:val="24"/>
        </w:rPr>
        <w:t> </w:t>
      </w:r>
      <w:r>
        <w:rPr>
          <w:sz w:val="24"/>
        </w:rPr>
        <w:t>PHA</w:t>
      </w:r>
      <w:r>
        <w:rPr>
          <w:spacing w:val="-3"/>
          <w:sz w:val="24"/>
        </w:rPr>
        <w:t> </w:t>
      </w:r>
      <w:r>
        <w:rPr>
          <w:sz w:val="24"/>
        </w:rPr>
        <w:t>may</w:t>
      </w:r>
      <w:r>
        <w:rPr>
          <w:spacing w:val="-2"/>
          <w:sz w:val="24"/>
        </w:rPr>
        <w:t> </w:t>
      </w:r>
      <w:r>
        <w:rPr>
          <w:sz w:val="24"/>
        </w:rPr>
        <w:t>elect</w:t>
      </w:r>
      <w:r>
        <w:rPr>
          <w:spacing w:val="-2"/>
          <w:sz w:val="24"/>
        </w:rPr>
        <w:t> </w:t>
      </w:r>
      <w:r>
        <w:rPr>
          <w:sz w:val="24"/>
        </w:rPr>
        <w:t>to</w:t>
      </w:r>
      <w:r>
        <w:rPr>
          <w:spacing w:val="-2"/>
          <w:sz w:val="24"/>
        </w:rPr>
        <w:t> </w:t>
      </w:r>
      <w:r>
        <w:rPr>
          <w:sz w:val="24"/>
        </w:rPr>
        <w:t>terminate</w:t>
      </w:r>
      <w:r>
        <w:rPr>
          <w:spacing w:val="-1"/>
          <w:sz w:val="24"/>
        </w:rPr>
        <w:t> </w:t>
      </w:r>
      <w:r>
        <w:rPr>
          <w:sz w:val="24"/>
        </w:rPr>
        <w:t>over- income</w:t>
      </w:r>
      <w:r>
        <w:rPr>
          <w:spacing w:val="-4"/>
          <w:sz w:val="24"/>
        </w:rPr>
        <w:t> </w:t>
      </w:r>
      <w:r>
        <w:rPr>
          <w:sz w:val="24"/>
        </w:rPr>
        <w:t>families</w:t>
      </w:r>
      <w:r>
        <w:rPr>
          <w:spacing w:val="-4"/>
          <w:sz w:val="24"/>
        </w:rPr>
        <w:t> </w:t>
      </w:r>
      <w:r>
        <w:rPr>
          <w:sz w:val="24"/>
        </w:rPr>
        <w:t>who</w:t>
      </w:r>
      <w:r>
        <w:rPr>
          <w:spacing w:val="-4"/>
          <w:sz w:val="24"/>
        </w:rPr>
        <w:t> </w:t>
      </w:r>
      <w:r>
        <w:rPr>
          <w:sz w:val="24"/>
        </w:rPr>
        <w:t>exceed</w:t>
      </w:r>
      <w:r>
        <w:rPr>
          <w:spacing w:val="-4"/>
          <w:sz w:val="24"/>
        </w:rPr>
        <w:t> </w:t>
      </w:r>
      <w:r>
        <w:rPr>
          <w:sz w:val="24"/>
        </w:rPr>
        <w:t>the</w:t>
      </w:r>
      <w:r>
        <w:rPr>
          <w:spacing w:val="-5"/>
          <w:sz w:val="24"/>
        </w:rPr>
        <w:t> </w:t>
      </w:r>
      <w:r>
        <w:rPr>
          <w:sz w:val="24"/>
        </w:rPr>
        <w:t>over-income</w:t>
      </w:r>
      <w:r>
        <w:rPr>
          <w:spacing w:val="-4"/>
          <w:sz w:val="24"/>
        </w:rPr>
        <w:t> </w:t>
      </w:r>
      <w:r>
        <w:rPr>
          <w:sz w:val="24"/>
        </w:rPr>
        <w:t>limit</w:t>
      </w:r>
      <w:r>
        <w:rPr>
          <w:spacing w:val="-4"/>
          <w:sz w:val="24"/>
        </w:rPr>
        <w:t> </w:t>
      </w:r>
      <w:r>
        <w:rPr>
          <w:sz w:val="24"/>
        </w:rPr>
        <w:t>for</w:t>
      </w:r>
      <w:r>
        <w:rPr>
          <w:spacing w:val="-4"/>
          <w:sz w:val="24"/>
        </w:rPr>
        <w:t> </w:t>
      </w:r>
      <w:r>
        <w:rPr>
          <w:sz w:val="24"/>
        </w:rPr>
        <w:t>two</w:t>
      </w:r>
      <w:r>
        <w:rPr>
          <w:spacing w:val="-4"/>
          <w:sz w:val="24"/>
        </w:rPr>
        <w:t> </w:t>
      </w:r>
      <w:r>
        <w:rPr>
          <w:sz w:val="24"/>
        </w:rPr>
        <w:t>consecutive</w:t>
      </w:r>
      <w:r>
        <w:rPr>
          <w:spacing w:val="-4"/>
          <w:sz w:val="24"/>
        </w:rPr>
        <w:t> </w:t>
      </w:r>
      <w:r>
        <w:rPr>
          <w:sz w:val="24"/>
        </w:rPr>
        <w:t>years,</w:t>
      </w:r>
      <w:r>
        <w:rPr>
          <w:spacing w:val="-4"/>
          <w:sz w:val="24"/>
        </w:rPr>
        <w:t> </w:t>
      </w:r>
      <w:r>
        <w:rPr>
          <w:sz w:val="24"/>
        </w:rPr>
        <w:t>but they were not required to do so. If a PHA elected not to terminate over-income families who exceed the grace period, then the PHA was required to offer the families the option once again of paying an income-based rent or a flat rent at their next annual reexamination. HUD confirmed that it would not enforce the requirement to charge the alternative rent until HUD published the final rule.</w:t>
      </w:r>
    </w:p>
    <w:p>
      <w:pPr>
        <w:pStyle w:val="BodyText"/>
        <w:spacing w:before="10"/>
        <w:rPr>
          <w:sz w:val="23"/>
        </w:rPr>
      </w:pPr>
    </w:p>
    <w:p>
      <w:pPr>
        <w:pStyle w:val="ListParagraph"/>
        <w:numPr>
          <w:ilvl w:val="1"/>
          <w:numId w:val="2"/>
        </w:numPr>
        <w:tabs>
          <w:tab w:pos="840" w:val="left" w:leader="none"/>
        </w:tabs>
        <w:spacing w:line="240" w:lineRule="auto" w:before="1" w:after="0"/>
        <w:ind w:left="840" w:right="1244" w:hanging="360"/>
        <w:jc w:val="left"/>
        <w:rPr>
          <w:sz w:val="24"/>
        </w:rPr>
      </w:pPr>
      <w:r>
        <w:rPr>
          <w:sz w:val="24"/>
        </w:rPr>
        <w:t>88</w:t>
      </w:r>
      <w:r>
        <w:rPr>
          <w:spacing w:val="-4"/>
          <w:sz w:val="24"/>
        </w:rPr>
        <w:t> </w:t>
      </w:r>
      <w:r>
        <w:rPr>
          <w:sz w:val="24"/>
        </w:rPr>
        <w:t>FR</w:t>
      </w:r>
      <w:r>
        <w:rPr>
          <w:spacing w:val="-4"/>
          <w:sz w:val="24"/>
        </w:rPr>
        <w:t> </w:t>
      </w:r>
      <w:r>
        <w:rPr>
          <w:sz w:val="24"/>
        </w:rPr>
        <w:t>9600</w:t>
      </w:r>
      <w:r>
        <w:rPr>
          <w:spacing w:val="-4"/>
          <w:sz w:val="24"/>
        </w:rPr>
        <w:t> </w:t>
      </w:r>
      <w:r>
        <w:rPr>
          <w:sz w:val="24"/>
        </w:rPr>
        <w:t>-</w:t>
      </w:r>
      <w:r>
        <w:rPr>
          <w:spacing w:val="-5"/>
          <w:sz w:val="24"/>
        </w:rPr>
        <w:t> </w:t>
      </w:r>
      <w:r>
        <w:rPr>
          <w:sz w:val="24"/>
        </w:rPr>
        <w:t>Housing</w:t>
      </w:r>
      <w:r>
        <w:rPr>
          <w:spacing w:val="-4"/>
          <w:sz w:val="24"/>
        </w:rPr>
        <w:t> </w:t>
      </w:r>
      <w:r>
        <w:rPr>
          <w:sz w:val="24"/>
        </w:rPr>
        <w:t>Opportunity</w:t>
      </w:r>
      <w:r>
        <w:rPr>
          <w:spacing w:val="-4"/>
          <w:sz w:val="24"/>
        </w:rPr>
        <w:t> </w:t>
      </w:r>
      <w:r>
        <w:rPr>
          <w:sz w:val="24"/>
        </w:rPr>
        <w:t>Through</w:t>
      </w:r>
      <w:r>
        <w:rPr>
          <w:spacing w:val="-4"/>
          <w:sz w:val="24"/>
        </w:rPr>
        <w:t> </w:t>
      </w:r>
      <w:r>
        <w:rPr>
          <w:sz w:val="24"/>
        </w:rPr>
        <w:t>Modernization</w:t>
      </w:r>
      <w:r>
        <w:rPr>
          <w:spacing w:val="-4"/>
          <w:sz w:val="24"/>
        </w:rPr>
        <w:t> </w:t>
      </w:r>
      <w:r>
        <w:rPr>
          <w:sz w:val="24"/>
        </w:rPr>
        <w:t>Act</w:t>
      </w:r>
      <w:r>
        <w:rPr>
          <w:spacing w:val="-4"/>
          <w:sz w:val="24"/>
        </w:rPr>
        <w:t> </w:t>
      </w:r>
      <w:r>
        <w:rPr>
          <w:sz w:val="24"/>
        </w:rPr>
        <w:t>of</w:t>
      </w:r>
      <w:r>
        <w:rPr>
          <w:spacing w:val="-5"/>
          <w:sz w:val="24"/>
        </w:rPr>
        <w:t> </w:t>
      </w:r>
      <w:r>
        <w:rPr>
          <w:sz w:val="24"/>
        </w:rPr>
        <w:t>2016:</w:t>
      </w:r>
      <w:r>
        <w:rPr>
          <w:spacing w:val="-2"/>
          <w:sz w:val="24"/>
        </w:rPr>
        <w:t> </w:t>
      </w:r>
      <w:r>
        <w:rPr>
          <w:sz w:val="24"/>
        </w:rPr>
        <w:t>Implementation of Sections 102, 103, and 104 (February 14, 2023). (HOTMA final rule)</w:t>
      </w:r>
    </w:p>
    <w:p>
      <w:pPr>
        <w:pStyle w:val="ListParagraph"/>
        <w:numPr>
          <w:ilvl w:val="2"/>
          <w:numId w:val="2"/>
        </w:numPr>
        <w:tabs>
          <w:tab w:pos="1559" w:val="left" w:leader="none"/>
          <w:tab w:pos="1560" w:val="left" w:leader="none"/>
        </w:tabs>
        <w:spacing w:line="240" w:lineRule="auto" w:before="0" w:after="0"/>
        <w:ind w:left="1560" w:right="1232" w:hanging="360"/>
        <w:jc w:val="left"/>
        <w:rPr>
          <w:sz w:val="24"/>
        </w:rPr>
      </w:pPr>
      <w:r>
        <w:rPr>
          <w:sz w:val="24"/>
        </w:rPr>
        <w:t>With</w:t>
      </w:r>
      <w:r>
        <w:rPr>
          <w:spacing w:val="-3"/>
          <w:sz w:val="24"/>
        </w:rPr>
        <w:t> </w:t>
      </w:r>
      <w:r>
        <w:rPr>
          <w:sz w:val="24"/>
        </w:rPr>
        <w:t>the</w:t>
      </w:r>
      <w:r>
        <w:rPr>
          <w:spacing w:val="-4"/>
          <w:sz w:val="24"/>
        </w:rPr>
        <w:t> </w:t>
      </w:r>
      <w:r>
        <w:rPr>
          <w:sz w:val="24"/>
        </w:rPr>
        <w:t>publication</w:t>
      </w:r>
      <w:r>
        <w:rPr>
          <w:spacing w:val="-3"/>
          <w:sz w:val="24"/>
        </w:rPr>
        <w:t> </w:t>
      </w:r>
      <w:r>
        <w:rPr>
          <w:sz w:val="24"/>
        </w:rPr>
        <w:t>of</w:t>
      </w:r>
      <w:r>
        <w:rPr>
          <w:spacing w:val="-4"/>
          <w:sz w:val="24"/>
        </w:rPr>
        <w:t> </w:t>
      </w:r>
      <w:r>
        <w:rPr>
          <w:sz w:val="24"/>
        </w:rPr>
        <w:t>the</w:t>
      </w:r>
      <w:r>
        <w:rPr>
          <w:spacing w:val="-5"/>
          <w:sz w:val="24"/>
        </w:rPr>
        <w:t> </w:t>
      </w:r>
      <w:r>
        <w:rPr>
          <w:sz w:val="24"/>
        </w:rPr>
        <w:t>final</w:t>
      </w:r>
      <w:r>
        <w:rPr>
          <w:spacing w:val="-3"/>
          <w:sz w:val="24"/>
        </w:rPr>
        <w:t> </w:t>
      </w:r>
      <w:r>
        <w:rPr>
          <w:sz w:val="24"/>
        </w:rPr>
        <w:t>rule,</w:t>
      </w:r>
      <w:r>
        <w:rPr>
          <w:spacing w:val="-1"/>
          <w:sz w:val="24"/>
        </w:rPr>
        <w:t> </w:t>
      </w:r>
      <w:r>
        <w:rPr>
          <w:sz w:val="24"/>
        </w:rPr>
        <w:t>all</w:t>
      </w:r>
      <w:r>
        <w:rPr>
          <w:spacing w:val="-3"/>
          <w:sz w:val="24"/>
        </w:rPr>
        <w:t> </w:t>
      </w:r>
      <w:r>
        <w:rPr>
          <w:sz w:val="24"/>
        </w:rPr>
        <w:t>elements of</w:t>
      </w:r>
      <w:r>
        <w:rPr>
          <w:spacing w:val="-4"/>
          <w:sz w:val="24"/>
        </w:rPr>
        <w:t> </w:t>
      </w:r>
      <w:r>
        <w:rPr>
          <w:sz w:val="24"/>
        </w:rPr>
        <w:t>Section</w:t>
      </w:r>
      <w:r>
        <w:rPr>
          <w:spacing w:val="-3"/>
          <w:sz w:val="24"/>
        </w:rPr>
        <w:t> </w:t>
      </w:r>
      <w:r>
        <w:rPr>
          <w:sz w:val="24"/>
        </w:rPr>
        <w:t>103</w:t>
      </w:r>
      <w:r>
        <w:rPr>
          <w:spacing w:val="-3"/>
          <w:sz w:val="24"/>
        </w:rPr>
        <w:t> </w:t>
      </w:r>
      <w:r>
        <w:rPr>
          <w:sz w:val="24"/>
        </w:rPr>
        <w:t>of</w:t>
      </w:r>
      <w:r>
        <w:rPr>
          <w:spacing w:val="-4"/>
          <w:sz w:val="24"/>
        </w:rPr>
        <w:t> </w:t>
      </w:r>
      <w:r>
        <w:rPr>
          <w:sz w:val="24"/>
        </w:rPr>
        <w:t>HOTMA</w:t>
      </w:r>
      <w:r>
        <w:rPr>
          <w:spacing w:val="-3"/>
          <w:sz w:val="24"/>
        </w:rPr>
        <w:t> </w:t>
      </w:r>
      <w:r>
        <w:rPr>
          <w:sz w:val="24"/>
        </w:rPr>
        <w:t>will become effective after 30 days, </w:t>
      </w:r>
      <w:r>
        <w:rPr>
          <w:i/>
          <w:sz w:val="24"/>
        </w:rPr>
        <w:t>i.e.</w:t>
      </w:r>
      <w:r>
        <w:rPr>
          <w:sz w:val="24"/>
        </w:rPr>
        <w:t>, March 16, 2023. The HOTMA final rule requires all PHAs to fully implement the OI requirements by June 14, 2023.</w:t>
      </w:r>
    </w:p>
    <w:p>
      <w:pPr>
        <w:pStyle w:val="BodyText"/>
        <w:spacing w:before="10"/>
        <w:rPr>
          <w:sz w:val="23"/>
        </w:rPr>
      </w:pPr>
    </w:p>
    <w:p>
      <w:pPr>
        <w:pStyle w:val="Heading2"/>
        <w:numPr>
          <w:ilvl w:val="0"/>
          <w:numId w:val="2"/>
        </w:numPr>
        <w:tabs>
          <w:tab w:pos="840" w:val="left" w:leader="none"/>
        </w:tabs>
        <w:spacing w:line="240" w:lineRule="auto" w:before="0" w:after="0"/>
        <w:ind w:left="840" w:right="0" w:hanging="360"/>
        <w:jc w:val="left"/>
      </w:pPr>
      <w:bookmarkStart w:name="3. Applicability" w:id="11"/>
      <w:bookmarkEnd w:id="11"/>
      <w:r>
        <w:rPr>
          <w:b w:val="0"/>
        </w:rPr>
      </w:r>
      <w:bookmarkStart w:name="_bookmark8" w:id="12"/>
      <w:bookmarkEnd w:id="12"/>
      <w:r>
        <w:rPr>
          <w:spacing w:val="-2"/>
        </w:rPr>
        <w:t>A</w:t>
      </w:r>
      <w:r>
        <w:rPr>
          <w:spacing w:val="-2"/>
        </w:rPr>
        <w:t>pplicability</w:t>
      </w:r>
    </w:p>
    <w:p>
      <w:pPr>
        <w:pStyle w:val="BodyText"/>
        <w:ind w:left="120" w:right="1482"/>
      </w:pPr>
      <w:r>
        <w:rPr/>
        <w:t>Section 103 of HOTMA applies to all PHAs operating a public housing program, including Moving to Work (MTW) Agencies.</w:t>
      </w:r>
      <w:r>
        <w:rPr>
          <w:spacing w:val="40"/>
        </w:rPr>
        <w:t> </w:t>
      </w:r>
      <w:r>
        <w:rPr/>
        <w:t>However, a PHA that owns or operates fewer than 250 public</w:t>
      </w:r>
      <w:r>
        <w:rPr>
          <w:spacing w:val="-2"/>
        </w:rPr>
        <w:t> </w:t>
      </w:r>
      <w:r>
        <w:rPr/>
        <w:t>housing</w:t>
      </w:r>
      <w:r>
        <w:rPr>
          <w:spacing w:val="-1"/>
        </w:rPr>
        <w:t> </w:t>
      </w:r>
      <w:r>
        <w:rPr/>
        <w:t>units</w:t>
      </w:r>
      <w:r>
        <w:rPr>
          <w:spacing w:val="-1"/>
        </w:rPr>
        <w:t> </w:t>
      </w:r>
      <w:r>
        <w:rPr/>
        <w:t>may</w:t>
      </w:r>
      <w:r>
        <w:rPr>
          <w:spacing w:val="-4"/>
        </w:rPr>
        <w:t> </w:t>
      </w:r>
      <w:r>
        <w:rPr/>
        <w:t>continue</w:t>
      </w:r>
      <w:r>
        <w:rPr>
          <w:spacing w:val="-3"/>
        </w:rPr>
        <w:t> </w:t>
      </w:r>
      <w:r>
        <w:rPr/>
        <w:t>to</w:t>
      </w:r>
      <w:r>
        <w:rPr>
          <w:spacing w:val="-1"/>
        </w:rPr>
        <w:t> </w:t>
      </w:r>
      <w:r>
        <w:rPr/>
        <w:t>lease</w:t>
      </w:r>
      <w:r>
        <w:rPr>
          <w:spacing w:val="-2"/>
        </w:rPr>
        <w:t> </w:t>
      </w:r>
      <w:r>
        <w:rPr/>
        <w:t>public housing</w:t>
      </w:r>
      <w:r>
        <w:rPr>
          <w:spacing w:val="-1"/>
        </w:rPr>
        <w:t> </w:t>
      </w:r>
      <w:r>
        <w:rPr/>
        <w:t>units</w:t>
      </w:r>
      <w:r>
        <w:rPr>
          <w:spacing w:val="-1"/>
        </w:rPr>
        <w:t> </w:t>
      </w:r>
      <w:r>
        <w:rPr/>
        <w:t>to</w:t>
      </w:r>
      <w:r>
        <w:rPr>
          <w:spacing w:val="-1"/>
        </w:rPr>
        <w:t> </w:t>
      </w:r>
      <w:r>
        <w:rPr/>
        <w:t>non-assisted</w:t>
      </w:r>
      <w:r>
        <w:rPr>
          <w:spacing w:val="-1"/>
        </w:rPr>
        <w:t> </w:t>
      </w:r>
      <w:r>
        <w:rPr/>
        <w:t>over-income families</w:t>
      </w:r>
      <w:r>
        <w:rPr>
          <w:spacing w:val="-2"/>
        </w:rPr>
        <w:t> </w:t>
      </w:r>
      <w:r>
        <w:rPr/>
        <w:t>in</w:t>
      </w:r>
      <w:r>
        <w:rPr>
          <w:spacing w:val="-2"/>
        </w:rPr>
        <w:t> </w:t>
      </w:r>
      <w:r>
        <w:rPr/>
        <w:t>accordance</w:t>
      </w:r>
      <w:r>
        <w:rPr>
          <w:spacing w:val="-4"/>
        </w:rPr>
        <w:t> </w:t>
      </w:r>
      <w:r>
        <w:rPr/>
        <w:t>with</w:t>
      </w:r>
      <w:r>
        <w:rPr>
          <w:spacing w:val="-2"/>
        </w:rPr>
        <w:t> </w:t>
      </w:r>
      <w:r>
        <w:rPr/>
        <w:t>Section</w:t>
      </w:r>
      <w:r>
        <w:rPr>
          <w:spacing w:val="-2"/>
        </w:rPr>
        <w:t> </w:t>
      </w:r>
      <w:r>
        <w:rPr/>
        <w:t>3(a)(5)</w:t>
      </w:r>
      <w:r>
        <w:rPr>
          <w:spacing w:val="-3"/>
        </w:rPr>
        <w:t> </w:t>
      </w:r>
      <w:r>
        <w:rPr/>
        <w:t>of</w:t>
      </w:r>
      <w:r>
        <w:rPr>
          <w:spacing w:val="-3"/>
        </w:rPr>
        <w:t> </w:t>
      </w:r>
      <w:r>
        <w:rPr/>
        <w:t>the</w:t>
      </w:r>
      <w:r>
        <w:rPr>
          <w:spacing w:val="-1"/>
        </w:rPr>
        <w:t> </w:t>
      </w:r>
      <w:r>
        <w:rPr/>
        <w:t>1937</w:t>
      </w:r>
      <w:r>
        <w:rPr>
          <w:spacing w:val="-2"/>
        </w:rPr>
        <w:t> </w:t>
      </w:r>
      <w:r>
        <w:rPr/>
        <w:t>Act</w:t>
      </w:r>
      <w:r>
        <w:rPr>
          <w:spacing w:val="-2"/>
        </w:rPr>
        <w:t> </w:t>
      </w:r>
      <w:r>
        <w:rPr/>
        <w:t>and</w:t>
      </w:r>
      <w:r>
        <w:rPr>
          <w:spacing w:val="-2"/>
        </w:rPr>
        <w:t> </w:t>
      </w:r>
      <w:r>
        <w:rPr/>
        <w:t>24</w:t>
      </w:r>
      <w:r>
        <w:rPr>
          <w:spacing w:val="-2"/>
        </w:rPr>
        <w:t> </w:t>
      </w:r>
      <w:r>
        <w:rPr/>
        <w:t>CFR</w:t>
      </w:r>
      <w:r>
        <w:rPr>
          <w:spacing w:val="-2"/>
        </w:rPr>
        <w:t> </w:t>
      </w:r>
      <w:r>
        <w:rPr/>
        <w:t>960.503.</w:t>
      </w:r>
      <w:r>
        <w:rPr>
          <w:spacing w:val="40"/>
        </w:rPr>
        <w:t> </w:t>
      </w:r>
      <w:r>
        <w:rPr/>
        <w:t>The</w:t>
      </w:r>
      <w:r>
        <w:rPr>
          <w:spacing w:val="-4"/>
        </w:rPr>
        <w:t> </w:t>
      </w:r>
      <w:r>
        <w:rPr/>
        <w:t>over- income limit does not apply to these unassisted families whose annual income exceeds the applicable low-income limit at the time of initial occupancy.</w:t>
      </w:r>
    </w:p>
    <w:p>
      <w:pPr>
        <w:spacing w:after="0"/>
        <w:sectPr>
          <w:pgSz w:w="12240" w:h="15840"/>
          <w:pgMar w:header="0" w:footer="1033" w:top="1360" w:bottom="1220" w:left="1320" w:right="240"/>
        </w:sectPr>
      </w:pPr>
    </w:p>
    <w:p>
      <w:pPr>
        <w:pStyle w:val="BodyText"/>
        <w:spacing w:before="79"/>
        <w:ind w:left="120" w:right="1482"/>
      </w:pPr>
      <w:r>
        <w:rPr/>
        <w:t>There are no exceptions to the limitation on public housing tenancy for HUD assisted tenants who</w:t>
      </w:r>
      <w:r>
        <w:rPr>
          <w:spacing w:val="-3"/>
        </w:rPr>
        <w:t> </w:t>
      </w:r>
      <w:r>
        <w:rPr/>
        <w:t>are</w:t>
      </w:r>
      <w:r>
        <w:rPr>
          <w:spacing w:val="-4"/>
        </w:rPr>
        <w:t> </w:t>
      </w:r>
      <w:r>
        <w:rPr/>
        <w:t>determined</w:t>
      </w:r>
      <w:r>
        <w:rPr>
          <w:spacing w:val="-3"/>
        </w:rPr>
        <w:t> </w:t>
      </w:r>
      <w:r>
        <w:rPr/>
        <w:t>to</w:t>
      </w:r>
      <w:r>
        <w:rPr>
          <w:spacing w:val="-3"/>
        </w:rPr>
        <w:t> </w:t>
      </w:r>
      <w:r>
        <w:rPr/>
        <w:t>be</w:t>
      </w:r>
      <w:r>
        <w:rPr>
          <w:spacing w:val="-3"/>
        </w:rPr>
        <w:t> </w:t>
      </w:r>
      <w:r>
        <w:rPr/>
        <w:t>over-income</w:t>
      </w:r>
      <w:r>
        <w:rPr>
          <w:spacing w:val="-3"/>
        </w:rPr>
        <w:t> </w:t>
      </w:r>
      <w:r>
        <w:rPr/>
        <w:t>for</w:t>
      </w:r>
      <w:r>
        <w:rPr>
          <w:spacing w:val="-4"/>
        </w:rPr>
        <w:t> </w:t>
      </w:r>
      <w:r>
        <w:rPr/>
        <w:t>24</w:t>
      </w:r>
      <w:r>
        <w:rPr>
          <w:spacing w:val="-3"/>
        </w:rPr>
        <w:t> </w:t>
      </w:r>
      <w:r>
        <w:rPr/>
        <w:t>consecutive</w:t>
      </w:r>
      <w:r>
        <w:rPr>
          <w:spacing w:val="-5"/>
        </w:rPr>
        <w:t> </w:t>
      </w:r>
      <w:r>
        <w:rPr/>
        <w:t>months.</w:t>
      </w:r>
      <w:r>
        <w:rPr>
          <w:spacing w:val="-3"/>
        </w:rPr>
        <w:t> </w:t>
      </w:r>
      <w:r>
        <w:rPr/>
        <w:t>However,</w:t>
      </w:r>
      <w:r>
        <w:rPr>
          <w:spacing w:val="-3"/>
        </w:rPr>
        <w:t> </w:t>
      </w:r>
      <w:r>
        <w:rPr/>
        <w:t>a</w:t>
      </w:r>
      <w:r>
        <w:rPr>
          <w:spacing w:val="-4"/>
        </w:rPr>
        <w:t> </w:t>
      </w:r>
      <w:r>
        <w:rPr/>
        <w:t>modification</w:t>
      </w:r>
      <w:r>
        <w:rPr>
          <w:spacing w:val="-3"/>
        </w:rPr>
        <w:t> </w:t>
      </w:r>
      <w:r>
        <w:rPr/>
        <w:t>to the</w:t>
      </w:r>
      <w:r>
        <w:rPr>
          <w:spacing w:val="-3"/>
        </w:rPr>
        <w:t> </w:t>
      </w:r>
      <w:r>
        <w:rPr/>
        <w:t>limitation</w:t>
      </w:r>
      <w:r>
        <w:rPr>
          <w:spacing w:val="-2"/>
        </w:rPr>
        <w:t> </w:t>
      </w:r>
      <w:r>
        <w:rPr/>
        <w:t>has</w:t>
      </w:r>
      <w:r>
        <w:rPr>
          <w:spacing w:val="-2"/>
        </w:rPr>
        <w:t> </w:t>
      </w:r>
      <w:r>
        <w:rPr/>
        <w:t>been</w:t>
      </w:r>
      <w:r>
        <w:rPr>
          <w:spacing w:val="-2"/>
        </w:rPr>
        <w:t> </w:t>
      </w:r>
      <w:r>
        <w:rPr/>
        <w:t>made</w:t>
      </w:r>
      <w:r>
        <w:rPr>
          <w:spacing w:val="-4"/>
        </w:rPr>
        <w:t> </w:t>
      </w:r>
      <w:r>
        <w:rPr/>
        <w:t>for</w:t>
      </w:r>
      <w:r>
        <w:rPr>
          <w:spacing w:val="-3"/>
        </w:rPr>
        <w:t> </w:t>
      </w:r>
      <w:r>
        <w:rPr/>
        <w:t>MTW</w:t>
      </w:r>
      <w:r>
        <w:rPr>
          <w:spacing w:val="-4"/>
        </w:rPr>
        <w:t> </w:t>
      </w:r>
      <w:r>
        <w:rPr/>
        <w:t>agencies. The</w:t>
      </w:r>
      <w:r>
        <w:rPr>
          <w:spacing w:val="-4"/>
        </w:rPr>
        <w:t> </w:t>
      </w:r>
      <w:r>
        <w:rPr/>
        <w:t>MTW</w:t>
      </w:r>
      <w:r>
        <w:rPr>
          <w:spacing w:val="-3"/>
        </w:rPr>
        <w:t> </w:t>
      </w:r>
      <w:r>
        <w:rPr/>
        <w:t>Operations</w:t>
      </w:r>
      <w:r>
        <w:rPr>
          <w:spacing w:val="-2"/>
        </w:rPr>
        <w:t> </w:t>
      </w:r>
      <w:r>
        <w:rPr/>
        <w:t>Notice</w:t>
      </w:r>
      <w:r>
        <w:rPr>
          <w:spacing w:val="-4"/>
        </w:rPr>
        <w:t> </w:t>
      </w:r>
      <w:r>
        <w:rPr/>
        <w:t>(85</w:t>
      </w:r>
      <w:r>
        <w:rPr>
          <w:spacing w:val="-2"/>
        </w:rPr>
        <w:t> </w:t>
      </w:r>
      <w:r>
        <w:rPr/>
        <w:t>FR</w:t>
      </w:r>
      <w:r>
        <w:rPr>
          <w:spacing w:val="-2"/>
        </w:rPr>
        <w:t> </w:t>
      </w:r>
      <w:r>
        <w:rPr/>
        <w:t>53444) extends the</w:t>
      </w:r>
      <w:r>
        <w:rPr>
          <w:spacing w:val="-2"/>
        </w:rPr>
        <w:t> </w:t>
      </w:r>
      <w:r>
        <w:rPr/>
        <w:t>2-year</w:t>
      </w:r>
      <w:r>
        <w:rPr>
          <w:spacing w:val="-1"/>
        </w:rPr>
        <w:t> </w:t>
      </w:r>
      <w:r>
        <w:rPr/>
        <w:t>grace period to 3 years, and allows MTW</w:t>
      </w:r>
      <w:r>
        <w:rPr>
          <w:spacing w:val="-1"/>
        </w:rPr>
        <w:t> </w:t>
      </w:r>
      <w:r>
        <w:rPr/>
        <w:t>PHAs to request a</w:t>
      </w:r>
      <w:r>
        <w:rPr>
          <w:spacing w:val="-1"/>
        </w:rPr>
        <w:t> </w:t>
      </w:r>
      <w:r>
        <w:rPr/>
        <w:t>waiver, which must be approved by HUD, to extend the grace period further.</w:t>
      </w:r>
    </w:p>
    <w:p>
      <w:pPr>
        <w:pStyle w:val="BodyText"/>
        <w:rPr>
          <w:sz w:val="26"/>
        </w:rPr>
      </w:pPr>
    </w:p>
    <w:p>
      <w:pPr>
        <w:pStyle w:val="Heading2"/>
        <w:numPr>
          <w:ilvl w:val="0"/>
          <w:numId w:val="2"/>
        </w:numPr>
        <w:tabs>
          <w:tab w:pos="840" w:val="left" w:leader="none"/>
        </w:tabs>
        <w:spacing w:line="240" w:lineRule="auto" w:before="217" w:after="0"/>
        <w:ind w:left="840" w:right="0" w:hanging="360"/>
        <w:jc w:val="left"/>
      </w:pPr>
      <w:bookmarkStart w:name="4. Key Terms" w:id="13"/>
      <w:bookmarkEnd w:id="13"/>
      <w:r>
        <w:rPr>
          <w:b w:val="0"/>
        </w:rPr>
      </w:r>
      <w:bookmarkStart w:name="_bookmark9" w:id="14"/>
      <w:bookmarkEnd w:id="14"/>
      <w:r>
        <w:rPr/>
        <w:t>K</w:t>
      </w:r>
      <w:r>
        <w:rPr/>
        <w:t>ey</w:t>
      </w:r>
      <w:r>
        <w:rPr>
          <w:spacing w:val="-3"/>
        </w:rPr>
        <w:t> </w:t>
      </w:r>
      <w:r>
        <w:rPr>
          <w:spacing w:val="-2"/>
        </w:rPr>
        <w:t>Terms</w:t>
      </w:r>
    </w:p>
    <w:p>
      <w:pPr>
        <w:pStyle w:val="BodyText"/>
        <w:spacing w:line="259" w:lineRule="auto" w:before="22"/>
        <w:ind w:left="120" w:right="1482"/>
      </w:pPr>
      <w:r>
        <w:rPr>
          <w:b/>
        </w:rPr>
        <w:t>ACOP</w:t>
      </w:r>
      <w:r>
        <w:rPr>
          <w:b/>
          <w:spacing w:val="-4"/>
        </w:rPr>
        <w:t> </w:t>
      </w:r>
      <w:r>
        <w:rPr/>
        <w:t>refers</w:t>
      </w:r>
      <w:r>
        <w:rPr>
          <w:spacing w:val="-3"/>
        </w:rPr>
        <w:t> </w:t>
      </w:r>
      <w:r>
        <w:rPr/>
        <w:t>to</w:t>
      </w:r>
      <w:r>
        <w:rPr>
          <w:spacing w:val="-3"/>
        </w:rPr>
        <w:t> </w:t>
      </w:r>
      <w:r>
        <w:rPr/>
        <w:t>the</w:t>
      </w:r>
      <w:r>
        <w:rPr>
          <w:spacing w:val="-5"/>
        </w:rPr>
        <w:t> </w:t>
      </w:r>
      <w:r>
        <w:rPr/>
        <w:t>Admissions</w:t>
      </w:r>
      <w:r>
        <w:rPr>
          <w:spacing w:val="-3"/>
        </w:rPr>
        <w:t> </w:t>
      </w:r>
      <w:r>
        <w:rPr/>
        <w:t>and</w:t>
      </w:r>
      <w:r>
        <w:rPr>
          <w:spacing w:val="-3"/>
        </w:rPr>
        <w:t> </w:t>
      </w:r>
      <w:r>
        <w:rPr/>
        <w:t>Continued</w:t>
      </w:r>
      <w:r>
        <w:rPr>
          <w:spacing w:val="-3"/>
        </w:rPr>
        <w:t> </w:t>
      </w:r>
      <w:r>
        <w:rPr/>
        <w:t>Occupancy</w:t>
      </w:r>
      <w:r>
        <w:rPr>
          <w:spacing w:val="-3"/>
        </w:rPr>
        <w:t> </w:t>
      </w:r>
      <w:r>
        <w:rPr/>
        <w:t>Policies</w:t>
      </w:r>
      <w:r>
        <w:rPr>
          <w:spacing w:val="-3"/>
        </w:rPr>
        <w:t> </w:t>
      </w:r>
      <w:r>
        <w:rPr/>
        <w:t>(ACOP)</w:t>
      </w:r>
      <w:r>
        <w:rPr>
          <w:spacing w:val="-4"/>
        </w:rPr>
        <w:t> </w:t>
      </w:r>
      <w:r>
        <w:rPr/>
        <w:t>for</w:t>
      </w:r>
      <w:r>
        <w:rPr>
          <w:spacing w:val="-4"/>
        </w:rPr>
        <w:t> </w:t>
      </w:r>
      <w:r>
        <w:rPr/>
        <w:t>the</w:t>
      </w:r>
      <w:r>
        <w:rPr>
          <w:spacing w:val="-4"/>
        </w:rPr>
        <w:t> </w:t>
      </w:r>
      <w:r>
        <w:rPr/>
        <w:t>Public Housing Program.</w:t>
      </w:r>
    </w:p>
    <w:p>
      <w:pPr>
        <w:pStyle w:val="BodyText"/>
        <w:spacing w:before="160"/>
        <w:ind w:left="120" w:right="1223"/>
      </w:pPr>
      <w:r>
        <w:rPr>
          <w:b/>
        </w:rPr>
        <w:t>Alternative non-public housing rent </w:t>
      </w:r>
      <w:r>
        <w:rPr/>
        <w:t>(alternative rent) is the monthly amount a PHA must charge non-public housing over-income (NPHOI) families, if allowed by PHA policy to remain in a public housing unit, after they have exceeded the 24 consecutive month grace period. The alternative</w:t>
      </w:r>
      <w:r>
        <w:rPr>
          <w:spacing w:val="-3"/>
        </w:rPr>
        <w:t> </w:t>
      </w:r>
      <w:r>
        <w:rPr/>
        <w:t>rent</w:t>
      </w:r>
      <w:r>
        <w:rPr>
          <w:spacing w:val="-2"/>
        </w:rPr>
        <w:t> </w:t>
      </w:r>
      <w:r>
        <w:rPr/>
        <w:t>is</w:t>
      </w:r>
      <w:r>
        <w:rPr>
          <w:spacing w:val="-2"/>
        </w:rPr>
        <w:t> </w:t>
      </w:r>
      <w:r>
        <w:rPr/>
        <w:t>defined at</w:t>
      </w:r>
      <w:r>
        <w:rPr>
          <w:spacing w:val="-2"/>
        </w:rPr>
        <w:t> </w:t>
      </w:r>
      <w:r>
        <w:rPr/>
        <w:t>24</w:t>
      </w:r>
      <w:r>
        <w:rPr>
          <w:spacing w:val="-2"/>
        </w:rPr>
        <w:t> </w:t>
      </w:r>
      <w:r>
        <w:rPr/>
        <w:t>CFR</w:t>
      </w:r>
      <w:r>
        <w:rPr>
          <w:spacing w:val="-2"/>
        </w:rPr>
        <w:t> </w:t>
      </w:r>
      <w:r>
        <w:rPr/>
        <w:t>960.102,</w:t>
      </w:r>
      <w:r>
        <w:rPr>
          <w:spacing w:val="-2"/>
        </w:rPr>
        <w:t> </w:t>
      </w:r>
      <w:r>
        <w:rPr/>
        <w:t>as</w:t>
      </w:r>
      <w:r>
        <w:rPr>
          <w:spacing w:val="-2"/>
        </w:rPr>
        <w:t> </w:t>
      </w:r>
      <w:r>
        <w:rPr/>
        <w:t>the</w:t>
      </w:r>
      <w:r>
        <w:rPr>
          <w:spacing w:val="-4"/>
        </w:rPr>
        <w:t> </w:t>
      </w:r>
      <w:r>
        <w:rPr/>
        <w:t>higher</w:t>
      </w:r>
      <w:r>
        <w:rPr>
          <w:spacing w:val="-3"/>
        </w:rPr>
        <w:t> </w:t>
      </w:r>
      <w:r>
        <w:rPr/>
        <w:t>of</w:t>
      </w:r>
      <w:r>
        <w:rPr>
          <w:spacing w:val="-3"/>
        </w:rPr>
        <w:t> </w:t>
      </w:r>
      <w:r>
        <w:rPr/>
        <w:t>the</w:t>
      </w:r>
      <w:r>
        <w:rPr>
          <w:spacing w:val="-1"/>
        </w:rPr>
        <w:t> </w:t>
      </w:r>
      <w:r>
        <w:rPr/>
        <w:t>Fair</w:t>
      </w:r>
      <w:r>
        <w:rPr>
          <w:spacing w:val="-3"/>
        </w:rPr>
        <w:t> </w:t>
      </w:r>
      <w:r>
        <w:rPr/>
        <w:t>Market</w:t>
      </w:r>
      <w:r>
        <w:rPr>
          <w:spacing w:val="-2"/>
        </w:rPr>
        <w:t> </w:t>
      </w:r>
      <w:r>
        <w:rPr/>
        <w:t>Rent</w:t>
      </w:r>
      <w:r>
        <w:rPr>
          <w:spacing w:val="-2"/>
        </w:rPr>
        <w:t> </w:t>
      </w:r>
      <w:r>
        <w:rPr/>
        <w:t>(FMR)</w:t>
      </w:r>
      <w:r>
        <w:rPr>
          <w:spacing w:val="-3"/>
        </w:rPr>
        <w:t> </w:t>
      </w:r>
      <w:r>
        <w:rPr/>
        <w:t>or</w:t>
      </w:r>
      <w:r>
        <w:rPr>
          <w:spacing w:val="-3"/>
        </w:rPr>
        <w:t> </w:t>
      </w:r>
      <w:r>
        <w:rPr/>
        <w:t>per unit monthly subsidy. The monthly subsidy provided for the unit, is determined by adding the</w:t>
      </w:r>
      <w:r>
        <w:rPr>
          <w:spacing w:val="40"/>
        </w:rPr>
        <w:t> </w:t>
      </w:r>
      <w:r>
        <w:rPr/>
        <w:t>per unit assistance provided to a public housing property as calculated through the applicable formulas for the Public Housing Capital Fund and Public Housing Operating Fund. See 24 CFR</w:t>
      </w:r>
    </w:p>
    <w:p>
      <w:pPr>
        <w:pStyle w:val="BodyText"/>
        <w:ind w:left="120"/>
      </w:pPr>
      <w:r>
        <w:rPr/>
        <w:t>960.102</w:t>
      </w:r>
      <w:r>
        <w:rPr>
          <w:spacing w:val="-2"/>
        </w:rPr>
        <w:t> </w:t>
      </w:r>
      <w:r>
        <w:rPr/>
        <w:t>for</w:t>
      </w:r>
      <w:r>
        <w:rPr>
          <w:spacing w:val="-3"/>
        </w:rPr>
        <w:t> </w:t>
      </w:r>
      <w:r>
        <w:rPr/>
        <w:t>more</w:t>
      </w:r>
      <w:r>
        <w:rPr>
          <w:spacing w:val="-3"/>
        </w:rPr>
        <w:t> </w:t>
      </w:r>
      <w:r>
        <w:rPr/>
        <w:t>details</w:t>
      </w:r>
      <w:r>
        <w:rPr>
          <w:spacing w:val="-2"/>
        </w:rPr>
        <w:t> </w:t>
      </w:r>
      <w:r>
        <w:rPr/>
        <w:t>about</w:t>
      </w:r>
      <w:r>
        <w:rPr>
          <w:spacing w:val="-1"/>
        </w:rPr>
        <w:t> </w:t>
      </w:r>
      <w:r>
        <w:rPr/>
        <w:t>how</w:t>
      </w:r>
      <w:r>
        <w:rPr>
          <w:spacing w:val="-3"/>
        </w:rPr>
        <w:t> </w:t>
      </w:r>
      <w:r>
        <w:rPr/>
        <w:t>HUD</w:t>
      </w:r>
      <w:r>
        <w:rPr>
          <w:spacing w:val="-3"/>
        </w:rPr>
        <w:t> </w:t>
      </w:r>
      <w:r>
        <w:rPr/>
        <w:t>will</w:t>
      </w:r>
      <w:r>
        <w:rPr>
          <w:spacing w:val="-2"/>
        </w:rPr>
        <w:t> </w:t>
      </w:r>
      <w:r>
        <w:rPr/>
        <w:t>calculate</w:t>
      </w:r>
      <w:r>
        <w:rPr>
          <w:spacing w:val="-2"/>
        </w:rPr>
        <w:t> </w:t>
      </w:r>
      <w:r>
        <w:rPr/>
        <w:t>and</w:t>
      </w:r>
      <w:r>
        <w:rPr>
          <w:spacing w:val="-2"/>
        </w:rPr>
        <w:t> </w:t>
      </w:r>
      <w:r>
        <w:rPr/>
        <w:t>publish</w:t>
      </w:r>
      <w:r>
        <w:rPr>
          <w:spacing w:val="-2"/>
        </w:rPr>
        <w:t> </w:t>
      </w:r>
      <w:r>
        <w:rPr/>
        <w:t>such</w:t>
      </w:r>
      <w:r>
        <w:rPr>
          <w:spacing w:val="-2"/>
        </w:rPr>
        <w:t> </w:t>
      </w:r>
      <w:r>
        <w:rPr/>
        <w:t>funding</w:t>
      </w:r>
      <w:r>
        <w:rPr>
          <w:spacing w:val="-1"/>
        </w:rPr>
        <w:t> </w:t>
      </w:r>
      <w:r>
        <w:rPr>
          <w:spacing w:val="-2"/>
        </w:rPr>
        <w:t>amounts.</w:t>
      </w:r>
    </w:p>
    <w:p>
      <w:pPr>
        <w:pStyle w:val="BodyText"/>
      </w:pPr>
    </w:p>
    <w:p>
      <w:pPr>
        <w:pStyle w:val="BodyText"/>
        <w:ind w:left="120" w:right="1204"/>
      </w:pPr>
      <w:r>
        <w:rPr>
          <w:b/>
        </w:rPr>
        <w:t>Non-public housing over-income family </w:t>
      </w:r>
      <w:r>
        <w:rPr/>
        <w:t>(NPHOI family) is defined in 24 CFR 960.102 as a family that has exceeded the over-income limit for 24 consecutive months who remains in a public</w:t>
      </w:r>
      <w:r>
        <w:rPr>
          <w:spacing w:val="-4"/>
        </w:rPr>
        <w:t> </w:t>
      </w:r>
      <w:r>
        <w:rPr/>
        <w:t>housing</w:t>
      </w:r>
      <w:r>
        <w:rPr>
          <w:spacing w:val="-3"/>
        </w:rPr>
        <w:t> </w:t>
      </w:r>
      <w:r>
        <w:rPr/>
        <w:t>unit,</w:t>
      </w:r>
      <w:r>
        <w:rPr>
          <w:spacing w:val="-3"/>
        </w:rPr>
        <w:t> </w:t>
      </w:r>
      <w:r>
        <w:rPr/>
        <w:t>as</w:t>
      </w:r>
      <w:r>
        <w:rPr>
          <w:spacing w:val="-3"/>
        </w:rPr>
        <w:t> </w:t>
      </w:r>
      <w:r>
        <w:rPr/>
        <w:t>allowed</w:t>
      </w:r>
      <w:r>
        <w:rPr>
          <w:spacing w:val="-3"/>
        </w:rPr>
        <w:t> </w:t>
      </w:r>
      <w:r>
        <w:rPr/>
        <w:t>by</w:t>
      </w:r>
      <w:r>
        <w:rPr>
          <w:spacing w:val="-3"/>
        </w:rPr>
        <w:t> </w:t>
      </w:r>
      <w:r>
        <w:rPr/>
        <w:t>PHA</w:t>
      </w:r>
      <w:r>
        <w:rPr>
          <w:spacing w:val="-4"/>
        </w:rPr>
        <w:t> </w:t>
      </w:r>
      <w:r>
        <w:rPr/>
        <w:t>policy,</w:t>
      </w:r>
      <w:r>
        <w:rPr>
          <w:spacing w:val="-3"/>
        </w:rPr>
        <w:t> </w:t>
      </w:r>
      <w:r>
        <w:rPr/>
        <w:t>paying</w:t>
      </w:r>
      <w:r>
        <w:rPr>
          <w:spacing w:val="-3"/>
        </w:rPr>
        <w:t> </w:t>
      </w:r>
      <w:r>
        <w:rPr/>
        <w:t>the</w:t>
      </w:r>
      <w:r>
        <w:rPr>
          <w:spacing w:val="-5"/>
        </w:rPr>
        <w:t> </w:t>
      </w:r>
      <w:r>
        <w:rPr/>
        <w:t>alternative</w:t>
      </w:r>
      <w:r>
        <w:rPr>
          <w:spacing w:val="-5"/>
        </w:rPr>
        <w:t> </w:t>
      </w:r>
      <w:r>
        <w:rPr/>
        <w:t>rent.</w:t>
      </w:r>
      <w:r>
        <w:rPr>
          <w:spacing w:val="-3"/>
        </w:rPr>
        <w:t> </w:t>
      </w:r>
      <w:r>
        <w:rPr/>
        <w:t>These</w:t>
      </w:r>
      <w:r>
        <w:rPr>
          <w:spacing w:val="-4"/>
        </w:rPr>
        <w:t> </w:t>
      </w:r>
      <w:r>
        <w:rPr/>
        <w:t>families</w:t>
      </w:r>
      <w:r>
        <w:rPr>
          <w:spacing w:val="-3"/>
        </w:rPr>
        <w:t> </w:t>
      </w:r>
      <w:r>
        <w:rPr/>
        <w:t>are</w:t>
      </w:r>
      <w:r>
        <w:rPr>
          <w:spacing w:val="-4"/>
        </w:rPr>
        <w:t> </w:t>
      </w:r>
      <w:r>
        <w:rPr/>
        <w:t>no longer public housing program participants and are unassisted tenants.</w:t>
      </w:r>
    </w:p>
    <w:p>
      <w:pPr>
        <w:pStyle w:val="BodyText"/>
      </w:pPr>
    </w:p>
    <w:p>
      <w:pPr>
        <w:pStyle w:val="BodyText"/>
        <w:ind w:left="120" w:right="1204"/>
      </w:pPr>
      <w:r>
        <w:rPr>
          <w:b/>
        </w:rPr>
        <w:t>Over-income family </w:t>
      </w:r>
      <w:r>
        <w:rPr/>
        <w:t>(OI family) is defined in 24 CFR 960.102 as a family whose income exceeds the</w:t>
      </w:r>
      <w:r>
        <w:rPr>
          <w:spacing w:val="-2"/>
        </w:rPr>
        <w:t> </w:t>
      </w:r>
      <w:r>
        <w:rPr/>
        <w:t>OI</w:t>
      </w:r>
      <w:r>
        <w:rPr>
          <w:spacing w:val="-4"/>
        </w:rPr>
        <w:t> </w:t>
      </w:r>
      <w:r>
        <w:rPr/>
        <w:t>limit. This term includes families during the</w:t>
      </w:r>
      <w:r>
        <w:rPr>
          <w:spacing w:val="-1"/>
        </w:rPr>
        <w:t> </w:t>
      </w:r>
      <w:r>
        <w:rPr/>
        <w:t>grace</w:t>
      </w:r>
      <w:r>
        <w:rPr>
          <w:spacing w:val="-2"/>
        </w:rPr>
        <w:t> </w:t>
      </w:r>
      <w:r>
        <w:rPr/>
        <w:t>period or</w:t>
      </w:r>
      <w:r>
        <w:rPr>
          <w:spacing w:val="-1"/>
        </w:rPr>
        <w:t> </w:t>
      </w:r>
      <w:r>
        <w:rPr/>
        <w:t>that are</w:t>
      </w:r>
      <w:r>
        <w:rPr>
          <w:spacing w:val="-2"/>
        </w:rPr>
        <w:t> </w:t>
      </w:r>
      <w:r>
        <w:rPr/>
        <w:t>in the</w:t>
      </w:r>
      <w:r>
        <w:rPr>
          <w:spacing w:val="-2"/>
        </w:rPr>
        <w:t> </w:t>
      </w:r>
      <w:r>
        <w:rPr/>
        <w:t>period before termination and are still public housing program participants. Note that in the public housing</w:t>
      </w:r>
      <w:r>
        <w:rPr>
          <w:spacing w:val="-3"/>
        </w:rPr>
        <w:t> </w:t>
      </w:r>
      <w:r>
        <w:rPr/>
        <w:t>program,</w:t>
      </w:r>
      <w:r>
        <w:rPr>
          <w:spacing w:val="-3"/>
        </w:rPr>
        <w:t> </w:t>
      </w:r>
      <w:r>
        <w:rPr/>
        <w:t>this</w:t>
      </w:r>
      <w:r>
        <w:rPr>
          <w:spacing w:val="-3"/>
        </w:rPr>
        <w:t> </w:t>
      </w:r>
      <w:r>
        <w:rPr/>
        <w:t>term</w:t>
      </w:r>
      <w:r>
        <w:rPr>
          <w:spacing w:val="-3"/>
        </w:rPr>
        <w:t> </w:t>
      </w:r>
      <w:r>
        <w:rPr/>
        <w:t>previously</w:t>
      </w:r>
      <w:r>
        <w:rPr>
          <w:spacing w:val="-3"/>
        </w:rPr>
        <w:t> </w:t>
      </w:r>
      <w:r>
        <w:rPr/>
        <w:t>referred</w:t>
      </w:r>
      <w:r>
        <w:rPr>
          <w:spacing w:val="-3"/>
        </w:rPr>
        <w:t> </w:t>
      </w:r>
      <w:r>
        <w:rPr/>
        <w:t>to</w:t>
      </w:r>
      <w:r>
        <w:rPr>
          <w:spacing w:val="-1"/>
        </w:rPr>
        <w:t> </w:t>
      </w:r>
      <w:r>
        <w:rPr/>
        <w:t>a</w:t>
      </w:r>
      <w:r>
        <w:rPr>
          <w:spacing w:val="-4"/>
        </w:rPr>
        <w:t> </w:t>
      </w:r>
      <w:r>
        <w:rPr/>
        <w:t>family</w:t>
      </w:r>
      <w:r>
        <w:rPr>
          <w:spacing w:val="-3"/>
        </w:rPr>
        <w:t> </w:t>
      </w:r>
      <w:r>
        <w:rPr/>
        <w:t>that</w:t>
      </w:r>
      <w:r>
        <w:rPr>
          <w:spacing w:val="-3"/>
        </w:rPr>
        <w:t> </w:t>
      </w:r>
      <w:r>
        <w:rPr/>
        <w:t>is</w:t>
      </w:r>
      <w:r>
        <w:rPr>
          <w:spacing w:val="-3"/>
        </w:rPr>
        <w:t> </w:t>
      </w:r>
      <w:r>
        <w:rPr/>
        <w:t>not</w:t>
      </w:r>
      <w:r>
        <w:rPr>
          <w:spacing w:val="-3"/>
        </w:rPr>
        <w:t> </w:t>
      </w:r>
      <w:r>
        <w:rPr/>
        <w:t>a</w:t>
      </w:r>
      <w:r>
        <w:rPr>
          <w:spacing w:val="-4"/>
        </w:rPr>
        <w:t> </w:t>
      </w:r>
      <w:r>
        <w:rPr/>
        <w:t>low-income</w:t>
      </w:r>
      <w:r>
        <w:rPr>
          <w:spacing w:val="-5"/>
        </w:rPr>
        <w:t> </w:t>
      </w:r>
      <w:r>
        <w:rPr/>
        <w:t>family</w:t>
      </w:r>
      <w:r>
        <w:rPr>
          <w:spacing w:val="-3"/>
        </w:rPr>
        <w:t> </w:t>
      </w:r>
      <w:r>
        <w:rPr/>
        <w:t>(i.e.,</w:t>
      </w:r>
      <w:r>
        <w:rPr>
          <w:spacing w:val="-1"/>
        </w:rPr>
        <w:t> </w:t>
      </w:r>
      <w:r>
        <w:rPr/>
        <w:t>a family with an income exceeding 80 percent Area Median Income (AMI)).</w:t>
      </w:r>
    </w:p>
    <w:p>
      <w:pPr>
        <w:pStyle w:val="BodyText"/>
      </w:pPr>
    </w:p>
    <w:p>
      <w:pPr>
        <w:pStyle w:val="BodyText"/>
        <w:spacing w:line="259" w:lineRule="auto"/>
        <w:ind w:left="120" w:right="1482"/>
      </w:pPr>
      <w:r>
        <w:rPr>
          <w:b/>
        </w:rPr>
        <w:t>Over-income</w:t>
      </w:r>
      <w:r>
        <w:rPr>
          <w:b/>
          <w:spacing w:val="-1"/>
        </w:rPr>
        <w:t> </w:t>
      </w:r>
      <w:r>
        <w:rPr>
          <w:b/>
        </w:rPr>
        <w:t>limit</w:t>
      </w:r>
      <w:r>
        <w:rPr>
          <w:b/>
          <w:spacing w:val="-1"/>
        </w:rPr>
        <w:t> </w:t>
      </w:r>
      <w:r>
        <w:rPr/>
        <w:t>(OI</w:t>
      </w:r>
      <w:r>
        <w:rPr>
          <w:spacing w:val="-5"/>
        </w:rPr>
        <w:t> </w:t>
      </w:r>
      <w:r>
        <w:rPr/>
        <w:t>limit)</w:t>
      </w:r>
      <w:r>
        <w:rPr>
          <w:spacing w:val="-2"/>
        </w:rPr>
        <w:t> </w:t>
      </w:r>
      <w:r>
        <w:rPr/>
        <w:t>is defined in 24 CFR 960.102. In the regulations, this amount is determined</w:t>
      </w:r>
      <w:r>
        <w:rPr>
          <w:spacing w:val="-3"/>
        </w:rPr>
        <w:t> </w:t>
      </w:r>
      <w:r>
        <w:rPr/>
        <w:t>by</w:t>
      </w:r>
      <w:r>
        <w:rPr>
          <w:spacing w:val="-3"/>
        </w:rPr>
        <w:t> </w:t>
      </w:r>
      <w:r>
        <w:rPr/>
        <w:t>multiplying</w:t>
      </w:r>
      <w:r>
        <w:rPr>
          <w:spacing w:val="-3"/>
        </w:rPr>
        <w:t> </w:t>
      </w:r>
      <w:r>
        <w:rPr/>
        <w:t>the</w:t>
      </w:r>
      <w:r>
        <w:rPr>
          <w:spacing w:val="-4"/>
        </w:rPr>
        <w:t> </w:t>
      </w:r>
      <w:r>
        <w:rPr/>
        <w:t>applicable</w:t>
      </w:r>
      <w:r>
        <w:rPr>
          <w:spacing w:val="-5"/>
        </w:rPr>
        <w:t> </w:t>
      </w:r>
      <w:r>
        <w:rPr/>
        <w:t>income</w:t>
      </w:r>
      <w:r>
        <w:rPr>
          <w:spacing w:val="-4"/>
        </w:rPr>
        <w:t> </w:t>
      </w:r>
      <w:r>
        <w:rPr/>
        <w:t>limit</w:t>
      </w:r>
      <w:r>
        <w:rPr>
          <w:spacing w:val="-3"/>
        </w:rPr>
        <w:t> </w:t>
      </w:r>
      <w:r>
        <w:rPr/>
        <w:t>for</w:t>
      </w:r>
      <w:r>
        <w:rPr>
          <w:spacing w:val="-4"/>
        </w:rPr>
        <w:t> </w:t>
      </w:r>
      <w:r>
        <w:rPr/>
        <w:t>a</w:t>
      </w:r>
      <w:r>
        <w:rPr>
          <w:spacing w:val="-4"/>
        </w:rPr>
        <w:t> </w:t>
      </w:r>
      <w:r>
        <w:rPr/>
        <w:t>very</w:t>
      </w:r>
      <w:r>
        <w:rPr>
          <w:spacing w:val="-3"/>
        </w:rPr>
        <w:t> </w:t>
      </w:r>
      <w:r>
        <w:rPr/>
        <w:t>low-income</w:t>
      </w:r>
      <w:r>
        <w:rPr>
          <w:spacing w:val="-6"/>
        </w:rPr>
        <w:t> </w:t>
      </w:r>
      <w:r>
        <w:rPr/>
        <w:t>(VLI)</w:t>
      </w:r>
      <w:r>
        <w:rPr>
          <w:spacing w:val="-2"/>
        </w:rPr>
        <w:t> </w:t>
      </w:r>
      <w:r>
        <w:rPr/>
        <w:t>family,</w:t>
      </w:r>
      <w:r>
        <w:rPr>
          <w:spacing w:val="-3"/>
        </w:rPr>
        <w:t> </w:t>
      </w:r>
      <w:r>
        <w:rPr/>
        <w:t>as defined in 24 CFR 5.603(b), by a factor of 2.4 (i.e., 120 percent of the AMI). See section 7 of this notice for further information.</w:t>
      </w:r>
    </w:p>
    <w:p>
      <w:pPr>
        <w:pStyle w:val="BodyText"/>
        <w:spacing w:line="259" w:lineRule="auto" w:before="159"/>
        <w:ind w:left="120" w:right="1416"/>
      </w:pPr>
      <w:r>
        <w:rPr>
          <w:b/>
        </w:rPr>
        <w:t>PHA Plan </w:t>
      </w:r>
      <w:r>
        <w:rPr/>
        <w:t>is defined in 24 CFR 903.4(a). It is a comprehensive guide to the public housing agency’s policies, programs, operations, and strategies for meeting local housing needs and goals.</w:t>
      </w:r>
      <w:r>
        <w:rPr>
          <w:spacing w:val="-1"/>
        </w:rPr>
        <w:t> </w:t>
      </w:r>
      <w:r>
        <w:rPr/>
        <w:t>There are</w:t>
      </w:r>
      <w:r>
        <w:rPr>
          <w:spacing w:val="-2"/>
        </w:rPr>
        <w:t> </w:t>
      </w:r>
      <w:r>
        <w:rPr/>
        <w:t>two</w:t>
      </w:r>
      <w:r>
        <w:rPr>
          <w:spacing w:val="-1"/>
        </w:rPr>
        <w:t> </w:t>
      </w:r>
      <w:r>
        <w:rPr/>
        <w:t>parts</w:t>
      </w:r>
      <w:r>
        <w:rPr>
          <w:spacing w:val="-1"/>
        </w:rPr>
        <w:t> </w:t>
      </w:r>
      <w:r>
        <w:rPr/>
        <w:t>to</w:t>
      </w:r>
      <w:r>
        <w:rPr>
          <w:spacing w:val="-1"/>
        </w:rPr>
        <w:t> </w:t>
      </w:r>
      <w:r>
        <w:rPr/>
        <w:t>the</w:t>
      </w:r>
      <w:r>
        <w:rPr>
          <w:spacing w:val="-2"/>
        </w:rPr>
        <w:t> </w:t>
      </w:r>
      <w:r>
        <w:rPr/>
        <w:t>PHA</w:t>
      </w:r>
      <w:r>
        <w:rPr>
          <w:spacing w:val="-2"/>
        </w:rPr>
        <w:t> </w:t>
      </w:r>
      <w:r>
        <w:rPr/>
        <w:t>Plan:</w:t>
      </w:r>
      <w:r>
        <w:rPr>
          <w:spacing w:val="-1"/>
        </w:rPr>
        <w:t> </w:t>
      </w:r>
      <w:r>
        <w:rPr/>
        <w:t>the</w:t>
      </w:r>
      <w:r>
        <w:rPr>
          <w:spacing w:val="-2"/>
        </w:rPr>
        <w:t> </w:t>
      </w:r>
      <w:r>
        <w:rPr/>
        <w:t>5-Year</w:t>
      </w:r>
      <w:r>
        <w:rPr>
          <w:spacing w:val="-2"/>
        </w:rPr>
        <w:t> </w:t>
      </w:r>
      <w:r>
        <w:rPr/>
        <w:t>Plan,</w:t>
      </w:r>
      <w:r>
        <w:rPr>
          <w:spacing w:val="-1"/>
        </w:rPr>
        <w:t> </w:t>
      </w:r>
      <w:r>
        <w:rPr/>
        <w:t>which</w:t>
      </w:r>
      <w:r>
        <w:rPr>
          <w:spacing w:val="-1"/>
        </w:rPr>
        <w:t> </w:t>
      </w:r>
      <w:r>
        <w:rPr/>
        <w:t>each</w:t>
      </w:r>
      <w:r>
        <w:rPr>
          <w:spacing w:val="-1"/>
        </w:rPr>
        <w:t> </w:t>
      </w:r>
      <w:r>
        <w:rPr/>
        <w:t>PHA</w:t>
      </w:r>
      <w:r>
        <w:rPr>
          <w:spacing w:val="-2"/>
        </w:rPr>
        <w:t> </w:t>
      </w:r>
      <w:r>
        <w:rPr/>
        <w:t>submits</w:t>
      </w:r>
      <w:r>
        <w:rPr>
          <w:spacing w:val="-1"/>
        </w:rPr>
        <w:t> </w:t>
      </w:r>
      <w:r>
        <w:rPr/>
        <w:t>to</w:t>
      </w:r>
      <w:r>
        <w:rPr>
          <w:spacing w:val="-1"/>
        </w:rPr>
        <w:t> </w:t>
      </w:r>
      <w:r>
        <w:rPr/>
        <w:t>HUD once</w:t>
      </w:r>
      <w:r>
        <w:rPr>
          <w:spacing w:val="-4"/>
        </w:rPr>
        <w:t> </w:t>
      </w:r>
      <w:r>
        <w:rPr/>
        <w:t>every</w:t>
      </w:r>
      <w:r>
        <w:rPr>
          <w:spacing w:val="-3"/>
        </w:rPr>
        <w:t> </w:t>
      </w:r>
      <w:r>
        <w:rPr/>
        <w:t>5</w:t>
      </w:r>
      <w:r>
        <w:rPr>
          <w:vertAlign w:val="superscript"/>
        </w:rPr>
        <w:t>th</w:t>
      </w:r>
      <w:r>
        <w:rPr>
          <w:spacing w:val="-2"/>
          <w:vertAlign w:val="baseline"/>
        </w:rPr>
        <w:t> </w:t>
      </w:r>
      <w:r>
        <w:rPr>
          <w:vertAlign w:val="baseline"/>
        </w:rPr>
        <w:t>PHA</w:t>
      </w:r>
      <w:r>
        <w:rPr>
          <w:spacing w:val="-4"/>
          <w:vertAlign w:val="baseline"/>
        </w:rPr>
        <w:t> </w:t>
      </w:r>
      <w:r>
        <w:rPr>
          <w:vertAlign w:val="baseline"/>
        </w:rPr>
        <w:t>fiscal</w:t>
      </w:r>
      <w:r>
        <w:rPr>
          <w:spacing w:val="-3"/>
          <w:vertAlign w:val="baseline"/>
        </w:rPr>
        <w:t> </w:t>
      </w:r>
      <w:r>
        <w:rPr>
          <w:vertAlign w:val="baseline"/>
        </w:rPr>
        <w:t>year,</w:t>
      </w:r>
      <w:r>
        <w:rPr>
          <w:spacing w:val="-3"/>
          <w:vertAlign w:val="baseline"/>
        </w:rPr>
        <w:t> </w:t>
      </w:r>
      <w:r>
        <w:rPr>
          <w:vertAlign w:val="baseline"/>
        </w:rPr>
        <w:t>and</w:t>
      </w:r>
      <w:r>
        <w:rPr>
          <w:spacing w:val="-3"/>
          <w:vertAlign w:val="baseline"/>
        </w:rPr>
        <w:t> </w:t>
      </w:r>
      <w:r>
        <w:rPr>
          <w:vertAlign w:val="baseline"/>
        </w:rPr>
        <w:t>the</w:t>
      </w:r>
      <w:r>
        <w:rPr>
          <w:spacing w:val="-2"/>
          <w:vertAlign w:val="baseline"/>
        </w:rPr>
        <w:t> </w:t>
      </w:r>
      <w:r>
        <w:rPr>
          <w:vertAlign w:val="baseline"/>
        </w:rPr>
        <w:t>Annual</w:t>
      </w:r>
      <w:r>
        <w:rPr>
          <w:spacing w:val="-3"/>
          <w:vertAlign w:val="baseline"/>
        </w:rPr>
        <w:t> </w:t>
      </w:r>
      <w:r>
        <w:rPr>
          <w:vertAlign w:val="baseline"/>
        </w:rPr>
        <w:t>Plan,</w:t>
      </w:r>
      <w:r>
        <w:rPr>
          <w:spacing w:val="-3"/>
          <w:vertAlign w:val="baseline"/>
        </w:rPr>
        <w:t> </w:t>
      </w:r>
      <w:r>
        <w:rPr>
          <w:vertAlign w:val="baseline"/>
        </w:rPr>
        <w:t>which</w:t>
      </w:r>
      <w:r>
        <w:rPr>
          <w:spacing w:val="-3"/>
          <w:vertAlign w:val="baseline"/>
        </w:rPr>
        <w:t> </w:t>
      </w:r>
      <w:r>
        <w:rPr>
          <w:vertAlign w:val="baseline"/>
        </w:rPr>
        <w:t>is</w:t>
      </w:r>
      <w:r>
        <w:rPr>
          <w:spacing w:val="-3"/>
          <w:vertAlign w:val="baseline"/>
        </w:rPr>
        <w:t> </w:t>
      </w:r>
      <w:r>
        <w:rPr>
          <w:vertAlign w:val="baseline"/>
        </w:rPr>
        <w:t>submitted</w:t>
      </w:r>
      <w:r>
        <w:rPr>
          <w:spacing w:val="-3"/>
          <w:vertAlign w:val="baseline"/>
        </w:rPr>
        <w:t> </w:t>
      </w:r>
      <w:r>
        <w:rPr>
          <w:vertAlign w:val="baseline"/>
        </w:rPr>
        <w:t>to</w:t>
      </w:r>
      <w:r>
        <w:rPr>
          <w:spacing w:val="-3"/>
          <w:vertAlign w:val="baseline"/>
        </w:rPr>
        <w:t> </w:t>
      </w:r>
      <w:r>
        <w:rPr>
          <w:vertAlign w:val="baseline"/>
        </w:rPr>
        <w:t>HUD</w:t>
      </w:r>
      <w:r>
        <w:rPr>
          <w:spacing w:val="-4"/>
          <w:vertAlign w:val="baseline"/>
        </w:rPr>
        <w:t> </w:t>
      </w:r>
      <w:r>
        <w:rPr>
          <w:vertAlign w:val="baseline"/>
        </w:rPr>
        <w:t>every</w:t>
      </w:r>
      <w:r>
        <w:rPr>
          <w:spacing w:val="-3"/>
          <w:vertAlign w:val="baseline"/>
        </w:rPr>
        <w:t> </w:t>
      </w:r>
      <w:r>
        <w:rPr>
          <w:vertAlign w:val="baseline"/>
        </w:rPr>
        <w:t>year</w:t>
      </w:r>
      <w:r>
        <w:rPr>
          <w:spacing w:val="-4"/>
          <w:vertAlign w:val="baseline"/>
        </w:rPr>
        <w:t> </w:t>
      </w:r>
      <w:r>
        <w:rPr>
          <w:vertAlign w:val="baseline"/>
        </w:rPr>
        <w:t>by non-qualified age</w:t>
      </w:r>
      <w:bookmarkStart w:name="_bookmark10" w:id="15"/>
      <w:bookmarkEnd w:id="15"/>
      <w:r>
        <w:rPr>
          <w:vertAlign w:val="baseline"/>
        </w:rPr>
        <w:t>n</w:t>
      </w:r>
      <w:r>
        <w:rPr>
          <w:vertAlign w:val="baseline"/>
        </w:rPr>
        <w:t>cies (non-qualified agencies are PHAs that do not meet the definition of a qualified agency).</w:t>
      </w:r>
      <w:hyperlink w:history="true" w:anchor="_bookmark11">
        <w:r>
          <w:rPr>
            <w:vertAlign w:val="superscript"/>
          </w:rPr>
          <w:t>4</w:t>
        </w:r>
      </w:hyperlink>
    </w:p>
    <w:p>
      <w:pPr>
        <w:pStyle w:val="BodyText"/>
        <w:rPr>
          <w:sz w:val="20"/>
        </w:rPr>
      </w:pPr>
    </w:p>
    <w:p>
      <w:pPr>
        <w:pStyle w:val="BodyText"/>
        <w:rPr>
          <w:sz w:val="20"/>
        </w:rPr>
      </w:pPr>
    </w:p>
    <w:p>
      <w:pPr>
        <w:pStyle w:val="BodyText"/>
        <w:spacing w:before="4"/>
        <w:rPr>
          <w:sz w:val="25"/>
        </w:rPr>
      </w:pPr>
      <w:r>
        <w:rPr/>
        <w:pict>
          <v:rect style="position:absolute;margin-left:72pt;margin-top:15.800879pt;width:144pt;height:.72pt;mso-position-horizontal-relative:page;mso-position-vertical-relative:paragraph;z-index:-15727104;mso-wrap-distance-left:0;mso-wrap-distance-right:0" id="docshape5" filled="true" fillcolor="#000000" stroked="false">
            <v:fill type="solid"/>
            <w10:wrap type="topAndBottom"/>
          </v:rect>
        </w:pict>
      </w:r>
    </w:p>
    <w:p>
      <w:pPr>
        <w:spacing w:before="101"/>
        <w:ind w:left="120" w:right="1482" w:firstLine="0"/>
        <w:jc w:val="left"/>
        <w:rPr>
          <w:sz w:val="20"/>
        </w:rPr>
      </w:pPr>
      <w:hyperlink w:history="true" w:anchor="_bookmark10">
        <w:r>
          <w:rPr>
            <w:sz w:val="20"/>
            <w:vertAlign w:val="superscript"/>
          </w:rPr>
          <w:t>4</w:t>
        </w:r>
      </w:hyperlink>
      <w:r>
        <w:rPr>
          <w:spacing w:val="-3"/>
          <w:sz w:val="20"/>
          <w:vertAlign w:val="baseline"/>
        </w:rPr>
        <w:t> </w:t>
      </w:r>
      <w:bookmarkStart w:name="_bookmark11" w:id="16"/>
      <w:bookmarkEnd w:id="16"/>
      <w:r>
        <w:rPr>
          <w:sz w:val="20"/>
          <w:vertAlign w:val="baseline"/>
        </w:rPr>
        <w:t>A</w:t>
      </w:r>
      <w:r>
        <w:rPr>
          <w:spacing w:val="-3"/>
          <w:sz w:val="20"/>
          <w:vertAlign w:val="baseline"/>
        </w:rPr>
        <w:t> </w:t>
      </w:r>
      <w:r>
        <w:rPr>
          <w:sz w:val="20"/>
          <w:vertAlign w:val="baseline"/>
        </w:rPr>
        <w:t>qualified</w:t>
      </w:r>
      <w:r>
        <w:rPr>
          <w:spacing w:val="-1"/>
          <w:sz w:val="20"/>
          <w:vertAlign w:val="baseline"/>
        </w:rPr>
        <w:t> </w:t>
      </w:r>
      <w:r>
        <w:rPr>
          <w:sz w:val="20"/>
          <w:vertAlign w:val="baseline"/>
        </w:rPr>
        <w:t>PHA</w:t>
      </w:r>
      <w:r>
        <w:rPr>
          <w:spacing w:val="-3"/>
          <w:sz w:val="20"/>
          <w:vertAlign w:val="baseline"/>
        </w:rPr>
        <w:t> </w:t>
      </w:r>
      <w:r>
        <w:rPr>
          <w:sz w:val="20"/>
          <w:vertAlign w:val="baseline"/>
        </w:rPr>
        <w:t>is</w:t>
      </w:r>
      <w:r>
        <w:rPr>
          <w:spacing w:val="-3"/>
          <w:sz w:val="20"/>
          <w:vertAlign w:val="baseline"/>
        </w:rPr>
        <w:t> </w:t>
      </w:r>
      <w:r>
        <w:rPr>
          <w:sz w:val="20"/>
          <w:vertAlign w:val="baseline"/>
        </w:rPr>
        <w:t>a</w:t>
      </w:r>
      <w:r>
        <w:rPr>
          <w:spacing w:val="-3"/>
          <w:sz w:val="20"/>
          <w:vertAlign w:val="baseline"/>
        </w:rPr>
        <w:t> </w:t>
      </w:r>
      <w:r>
        <w:rPr>
          <w:sz w:val="20"/>
          <w:vertAlign w:val="baseline"/>
        </w:rPr>
        <w:t>PHA</w:t>
      </w:r>
      <w:r>
        <w:rPr>
          <w:spacing w:val="-2"/>
          <w:sz w:val="20"/>
          <w:vertAlign w:val="baseline"/>
        </w:rPr>
        <w:t> </w:t>
      </w:r>
      <w:r>
        <w:rPr>
          <w:sz w:val="20"/>
          <w:vertAlign w:val="baseline"/>
        </w:rPr>
        <w:t>with</w:t>
      </w:r>
      <w:r>
        <w:rPr>
          <w:spacing w:val="-2"/>
          <w:sz w:val="20"/>
          <w:vertAlign w:val="baseline"/>
        </w:rPr>
        <w:t> </w:t>
      </w:r>
      <w:r>
        <w:rPr>
          <w:sz w:val="20"/>
          <w:vertAlign w:val="baseline"/>
        </w:rPr>
        <w:t>550</w:t>
      </w:r>
      <w:r>
        <w:rPr>
          <w:spacing w:val="-3"/>
          <w:sz w:val="20"/>
          <w:vertAlign w:val="baseline"/>
        </w:rPr>
        <w:t> </w:t>
      </w:r>
      <w:r>
        <w:rPr>
          <w:sz w:val="20"/>
          <w:vertAlign w:val="baseline"/>
        </w:rPr>
        <w:t>or</w:t>
      </w:r>
      <w:r>
        <w:rPr>
          <w:spacing w:val="-2"/>
          <w:sz w:val="20"/>
          <w:vertAlign w:val="baseline"/>
        </w:rPr>
        <w:t> </w:t>
      </w:r>
      <w:r>
        <w:rPr>
          <w:sz w:val="20"/>
          <w:vertAlign w:val="baseline"/>
        </w:rPr>
        <w:t>fewer</w:t>
      </w:r>
      <w:r>
        <w:rPr>
          <w:spacing w:val="-2"/>
          <w:sz w:val="20"/>
          <w:vertAlign w:val="baseline"/>
        </w:rPr>
        <w:t> </w:t>
      </w:r>
      <w:r>
        <w:rPr>
          <w:sz w:val="20"/>
          <w:vertAlign w:val="baseline"/>
        </w:rPr>
        <w:t>public</w:t>
      </w:r>
      <w:r>
        <w:rPr>
          <w:spacing w:val="-3"/>
          <w:sz w:val="20"/>
          <w:vertAlign w:val="baseline"/>
        </w:rPr>
        <w:t> </w:t>
      </w:r>
      <w:r>
        <w:rPr>
          <w:sz w:val="20"/>
          <w:vertAlign w:val="baseline"/>
        </w:rPr>
        <w:t>housing</w:t>
      </w:r>
      <w:r>
        <w:rPr>
          <w:spacing w:val="-2"/>
          <w:sz w:val="20"/>
          <w:vertAlign w:val="baseline"/>
        </w:rPr>
        <w:t> </w:t>
      </w:r>
      <w:r>
        <w:rPr>
          <w:sz w:val="20"/>
          <w:vertAlign w:val="baseline"/>
        </w:rPr>
        <w:t>dwelling</w:t>
      </w:r>
      <w:r>
        <w:rPr>
          <w:spacing w:val="-2"/>
          <w:sz w:val="20"/>
          <w:vertAlign w:val="baseline"/>
        </w:rPr>
        <w:t> </w:t>
      </w:r>
      <w:r>
        <w:rPr>
          <w:sz w:val="20"/>
          <w:vertAlign w:val="baseline"/>
        </w:rPr>
        <w:t>units</w:t>
      </w:r>
      <w:r>
        <w:rPr>
          <w:spacing w:val="-3"/>
          <w:sz w:val="20"/>
          <w:vertAlign w:val="baseline"/>
        </w:rPr>
        <w:t> </w:t>
      </w:r>
      <w:r>
        <w:rPr>
          <w:sz w:val="20"/>
          <w:vertAlign w:val="baseline"/>
        </w:rPr>
        <w:t>and/or</w:t>
      </w:r>
      <w:r>
        <w:rPr>
          <w:spacing w:val="-3"/>
          <w:sz w:val="20"/>
          <w:vertAlign w:val="baseline"/>
        </w:rPr>
        <w:t> </w:t>
      </w:r>
      <w:r>
        <w:rPr>
          <w:sz w:val="20"/>
          <w:vertAlign w:val="baseline"/>
        </w:rPr>
        <w:t>housing</w:t>
      </w:r>
      <w:r>
        <w:rPr>
          <w:spacing w:val="-2"/>
          <w:sz w:val="20"/>
          <w:vertAlign w:val="baseline"/>
        </w:rPr>
        <w:t> </w:t>
      </w:r>
      <w:r>
        <w:rPr>
          <w:sz w:val="20"/>
          <w:vertAlign w:val="baseline"/>
        </w:rPr>
        <w:t>choice</w:t>
      </w:r>
      <w:r>
        <w:rPr>
          <w:spacing w:val="-4"/>
          <w:sz w:val="20"/>
          <w:vertAlign w:val="baseline"/>
        </w:rPr>
        <w:t> </w:t>
      </w:r>
      <w:r>
        <w:rPr>
          <w:sz w:val="20"/>
          <w:vertAlign w:val="baseline"/>
        </w:rPr>
        <w:t>vouchers combined and is not PHAS or SEMAP troubled.</w:t>
      </w:r>
    </w:p>
    <w:p>
      <w:pPr>
        <w:spacing w:after="0"/>
        <w:jc w:val="left"/>
        <w:rPr>
          <w:sz w:val="20"/>
        </w:rPr>
        <w:sectPr>
          <w:pgSz w:w="12240" w:h="15840"/>
          <w:pgMar w:header="0" w:footer="1033" w:top="1360" w:bottom="1220" w:left="1320" w:right="240"/>
        </w:sectPr>
      </w:pPr>
    </w:p>
    <w:p>
      <w:pPr>
        <w:pStyle w:val="Heading2"/>
        <w:numPr>
          <w:ilvl w:val="0"/>
          <w:numId w:val="2"/>
        </w:numPr>
        <w:tabs>
          <w:tab w:pos="840" w:val="left" w:leader="none"/>
        </w:tabs>
        <w:spacing w:line="240" w:lineRule="auto" w:before="79" w:after="0"/>
        <w:ind w:left="840" w:right="1792" w:hanging="360"/>
        <w:jc w:val="left"/>
      </w:pPr>
      <w:bookmarkStart w:name="5. Effective Date of Over-Income Limits " w:id="17"/>
      <w:bookmarkEnd w:id="17"/>
      <w:r>
        <w:rPr>
          <w:b w:val="0"/>
        </w:rPr>
      </w:r>
      <w:bookmarkStart w:name="_bookmark12" w:id="18"/>
      <w:bookmarkEnd w:id="18"/>
      <w:r>
        <w:rPr/>
        <w:t>E</w:t>
      </w:r>
      <w:r>
        <w:rPr/>
        <w:t>ffective</w:t>
      </w:r>
      <w:r>
        <w:rPr>
          <w:spacing w:val="-5"/>
        </w:rPr>
        <w:t> </w:t>
      </w:r>
      <w:r>
        <w:rPr/>
        <w:t>Date</w:t>
      </w:r>
      <w:r>
        <w:rPr>
          <w:spacing w:val="-4"/>
        </w:rPr>
        <w:t> </w:t>
      </w:r>
      <w:r>
        <w:rPr/>
        <w:t>of</w:t>
      </w:r>
      <w:r>
        <w:rPr>
          <w:spacing w:val="-4"/>
        </w:rPr>
        <w:t> </w:t>
      </w:r>
      <w:r>
        <w:rPr/>
        <w:t>Over-Income</w:t>
      </w:r>
      <w:r>
        <w:rPr>
          <w:spacing w:val="-4"/>
        </w:rPr>
        <w:t> </w:t>
      </w:r>
      <w:r>
        <w:rPr/>
        <w:t>Limits</w:t>
      </w:r>
      <w:r>
        <w:rPr>
          <w:spacing w:val="-3"/>
        </w:rPr>
        <w:t> </w:t>
      </w:r>
      <w:r>
        <w:rPr/>
        <w:t>and</w:t>
      </w:r>
      <w:r>
        <w:rPr>
          <w:spacing w:val="-3"/>
        </w:rPr>
        <w:t> </w:t>
      </w:r>
      <w:r>
        <w:rPr/>
        <w:t>Integration</w:t>
      </w:r>
      <w:r>
        <w:rPr>
          <w:spacing w:val="-3"/>
        </w:rPr>
        <w:t> </w:t>
      </w:r>
      <w:r>
        <w:rPr/>
        <w:t>into</w:t>
      </w:r>
      <w:r>
        <w:rPr>
          <w:spacing w:val="-3"/>
        </w:rPr>
        <w:t> </w:t>
      </w:r>
      <w:r>
        <w:rPr/>
        <w:t>the</w:t>
      </w:r>
      <w:r>
        <w:rPr>
          <w:spacing w:val="-4"/>
        </w:rPr>
        <w:t> </w:t>
      </w:r>
      <w:r>
        <w:rPr/>
        <w:t>Admissions</w:t>
      </w:r>
      <w:r>
        <w:rPr>
          <w:spacing w:val="-3"/>
        </w:rPr>
        <w:t> </w:t>
      </w:r>
      <w:r>
        <w:rPr/>
        <w:t>and Continued Occupancy Policies (ACOP)</w:t>
      </w:r>
    </w:p>
    <w:p>
      <w:pPr>
        <w:pStyle w:val="BodyText"/>
        <w:spacing w:line="259" w:lineRule="auto"/>
        <w:ind w:left="120" w:right="1204"/>
      </w:pPr>
      <w:r>
        <w:rPr/>
        <w:t>Per the 2018 FR notice, all PHAs were required to update their ACOP to implement the public housing</w:t>
      </w:r>
      <w:r>
        <w:rPr>
          <w:spacing w:val="-2"/>
        </w:rPr>
        <w:t> </w:t>
      </w:r>
      <w:r>
        <w:rPr/>
        <w:t>OI</w:t>
      </w:r>
      <w:r>
        <w:rPr>
          <w:spacing w:val="-7"/>
        </w:rPr>
        <w:t> </w:t>
      </w:r>
      <w:r>
        <w:rPr/>
        <w:t>limit.</w:t>
      </w:r>
      <w:r>
        <w:rPr>
          <w:spacing w:val="-3"/>
        </w:rPr>
        <w:t> </w:t>
      </w:r>
      <w:r>
        <w:rPr/>
        <w:t>The</w:t>
      </w:r>
      <w:r>
        <w:rPr>
          <w:spacing w:val="-5"/>
        </w:rPr>
        <w:t> </w:t>
      </w:r>
      <w:r>
        <w:rPr/>
        <w:t>earliest</w:t>
      </w:r>
      <w:r>
        <w:rPr>
          <w:spacing w:val="-2"/>
        </w:rPr>
        <w:t> </w:t>
      </w:r>
      <w:r>
        <w:rPr/>
        <w:t>date</w:t>
      </w:r>
      <w:r>
        <w:rPr>
          <w:spacing w:val="-2"/>
        </w:rPr>
        <w:t> </w:t>
      </w:r>
      <w:r>
        <w:rPr/>
        <w:t>a</w:t>
      </w:r>
      <w:r>
        <w:rPr>
          <w:spacing w:val="-4"/>
        </w:rPr>
        <w:t> </w:t>
      </w:r>
      <w:r>
        <w:rPr/>
        <w:t>PHA</w:t>
      </w:r>
      <w:r>
        <w:rPr>
          <w:spacing w:val="-3"/>
        </w:rPr>
        <w:t> </w:t>
      </w:r>
      <w:r>
        <w:rPr/>
        <w:t>could</w:t>
      </w:r>
      <w:r>
        <w:rPr>
          <w:spacing w:val="-2"/>
        </w:rPr>
        <w:t> </w:t>
      </w:r>
      <w:r>
        <w:rPr/>
        <w:t>begin</w:t>
      </w:r>
      <w:r>
        <w:rPr>
          <w:spacing w:val="-2"/>
        </w:rPr>
        <w:t> </w:t>
      </w:r>
      <w:r>
        <w:rPr/>
        <w:t>to</w:t>
      </w:r>
      <w:r>
        <w:rPr>
          <w:spacing w:val="-2"/>
        </w:rPr>
        <w:t> </w:t>
      </w:r>
      <w:r>
        <w:rPr/>
        <w:t>implement</w:t>
      </w:r>
      <w:r>
        <w:rPr>
          <w:spacing w:val="-2"/>
        </w:rPr>
        <w:t> </w:t>
      </w:r>
      <w:r>
        <w:rPr/>
        <w:t>their</w:t>
      </w:r>
      <w:r>
        <w:rPr>
          <w:spacing w:val="-3"/>
        </w:rPr>
        <w:t> </w:t>
      </w:r>
      <w:r>
        <w:rPr/>
        <w:t>over-income</w:t>
      </w:r>
      <w:r>
        <w:rPr>
          <w:spacing w:val="-3"/>
        </w:rPr>
        <w:t> </w:t>
      </w:r>
      <w:r>
        <w:rPr/>
        <w:t>policy (OI Policy) would have been September 24, 2018. However, if implementation of this provision required a significant amendment, the PHA was required to complete all relevant PHA Plan and ACOP changes no later than 6 months after the applicable date of the 2018 FR notice. All OI polices were to include the imposition of the over-income limit in the program, when the 24 consecutive month grace period begins, and the notification requirements.</w:t>
      </w:r>
    </w:p>
    <w:p>
      <w:pPr>
        <w:pStyle w:val="BodyText"/>
        <w:spacing w:before="158"/>
        <w:ind w:left="120" w:right="1204"/>
      </w:pPr>
      <w:r>
        <w:rPr/>
        <w:t>Any</w:t>
      </w:r>
      <w:r>
        <w:rPr>
          <w:spacing w:val="-3"/>
        </w:rPr>
        <w:t> </w:t>
      </w:r>
      <w:r>
        <w:rPr/>
        <w:t>income</w:t>
      </w:r>
      <w:r>
        <w:rPr>
          <w:spacing w:val="-4"/>
        </w:rPr>
        <w:t> </w:t>
      </w:r>
      <w:r>
        <w:rPr/>
        <w:t>reexaminations</w:t>
      </w:r>
      <w:r>
        <w:rPr>
          <w:spacing w:val="-3"/>
        </w:rPr>
        <w:t> </w:t>
      </w:r>
      <w:r>
        <w:rPr/>
        <w:t>that</w:t>
      </w:r>
      <w:r>
        <w:rPr>
          <w:spacing w:val="-3"/>
        </w:rPr>
        <w:t> </w:t>
      </w:r>
      <w:r>
        <w:rPr/>
        <w:t>took</w:t>
      </w:r>
      <w:r>
        <w:rPr>
          <w:spacing w:val="-3"/>
        </w:rPr>
        <w:t> </w:t>
      </w:r>
      <w:r>
        <w:rPr/>
        <w:t>place</w:t>
      </w:r>
      <w:r>
        <w:rPr>
          <w:spacing w:val="-4"/>
        </w:rPr>
        <w:t> </w:t>
      </w:r>
      <w:r>
        <w:rPr/>
        <w:t>after</w:t>
      </w:r>
      <w:r>
        <w:rPr>
          <w:spacing w:val="-2"/>
        </w:rPr>
        <w:t> </w:t>
      </w:r>
      <w:r>
        <w:rPr/>
        <w:t>completion</w:t>
      </w:r>
      <w:r>
        <w:rPr>
          <w:spacing w:val="-3"/>
        </w:rPr>
        <w:t> </w:t>
      </w:r>
      <w:r>
        <w:rPr/>
        <w:t>of</w:t>
      </w:r>
      <w:r>
        <w:rPr>
          <w:spacing w:val="-4"/>
        </w:rPr>
        <w:t> </w:t>
      </w:r>
      <w:r>
        <w:rPr/>
        <w:t>the</w:t>
      </w:r>
      <w:r>
        <w:rPr>
          <w:spacing w:val="-4"/>
        </w:rPr>
        <w:t> </w:t>
      </w:r>
      <w:r>
        <w:rPr/>
        <w:t>PHAs’</w:t>
      </w:r>
      <w:r>
        <w:rPr>
          <w:spacing w:val="-2"/>
        </w:rPr>
        <w:t> </w:t>
      </w:r>
      <w:r>
        <w:rPr/>
        <w:t>OI</w:t>
      </w:r>
      <w:r>
        <w:rPr>
          <w:spacing w:val="-7"/>
        </w:rPr>
        <w:t> </w:t>
      </w:r>
      <w:r>
        <w:rPr/>
        <w:t>policy</w:t>
      </w:r>
      <w:r>
        <w:rPr>
          <w:spacing w:val="-3"/>
        </w:rPr>
        <w:t> </w:t>
      </w:r>
      <w:r>
        <w:rPr/>
        <w:t>amendment was to apply the applicable OI limit. Notice PIH 2019-11 clarified that a family would be determined to be OI at an interim or annual reexamination. Once adopted, PHAs were to update the OI limits for the public housing pr</w:t>
      </w:r>
      <w:bookmarkStart w:name="_bookmark13" w:id="19"/>
      <w:bookmarkEnd w:id="19"/>
      <w:r>
        <w:rPr/>
        <w:t>og</w:t>
      </w:r>
      <w:r>
        <w:rPr/>
        <w:t>ram in their ACOPs no later than 60 days after HUD publishes new income limits each year.</w:t>
      </w:r>
      <w:hyperlink w:history="true" w:anchor="_bookmark14">
        <w:r>
          <w:rPr>
            <w:vertAlign w:val="superscript"/>
          </w:rPr>
          <w:t>5</w:t>
        </w:r>
      </w:hyperlink>
    </w:p>
    <w:p>
      <w:pPr>
        <w:pStyle w:val="BodyText"/>
        <w:spacing w:before="6"/>
        <w:rPr>
          <w:sz w:val="27"/>
        </w:rPr>
      </w:pPr>
    </w:p>
    <w:p>
      <w:pPr>
        <w:spacing w:before="0"/>
        <w:ind w:left="120" w:right="0" w:firstLine="0"/>
        <w:jc w:val="left"/>
        <w:rPr>
          <w:i/>
          <w:sz w:val="24"/>
        </w:rPr>
      </w:pPr>
      <w:r>
        <w:rPr>
          <w:i/>
          <w:sz w:val="24"/>
        </w:rPr>
        <w:t>CARES</w:t>
      </w:r>
      <w:r>
        <w:rPr>
          <w:i/>
          <w:spacing w:val="-4"/>
          <w:sz w:val="24"/>
        </w:rPr>
        <w:t> </w:t>
      </w:r>
      <w:r>
        <w:rPr>
          <w:i/>
          <w:sz w:val="24"/>
        </w:rPr>
        <w:t>Act</w:t>
      </w:r>
      <w:r>
        <w:rPr>
          <w:i/>
          <w:spacing w:val="-3"/>
          <w:sz w:val="24"/>
        </w:rPr>
        <w:t> </w:t>
      </w:r>
      <w:r>
        <w:rPr>
          <w:i/>
          <w:sz w:val="24"/>
        </w:rPr>
        <w:t>impact</w:t>
      </w:r>
      <w:r>
        <w:rPr>
          <w:i/>
          <w:spacing w:val="-3"/>
          <w:sz w:val="24"/>
        </w:rPr>
        <w:t> </w:t>
      </w:r>
      <w:r>
        <w:rPr>
          <w:i/>
          <w:sz w:val="24"/>
        </w:rPr>
        <w:t>on</w:t>
      </w:r>
      <w:r>
        <w:rPr>
          <w:i/>
          <w:spacing w:val="-3"/>
          <w:sz w:val="24"/>
        </w:rPr>
        <w:t> </w:t>
      </w:r>
      <w:r>
        <w:rPr>
          <w:i/>
          <w:sz w:val="24"/>
        </w:rPr>
        <w:t>OI</w:t>
      </w:r>
      <w:r>
        <w:rPr>
          <w:i/>
          <w:spacing w:val="-3"/>
          <w:sz w:val="24"/>
        </w:rPr>
        <w:t> </w:t>
      </w:r>
      <w:r>
        <w:rPr>
          <w:i/>
          <w:sz w:val="24"/>
        </w:rPr>
        <w:t>Policy</w:t>
      </w:r>
      <w:r>
        <w:rPr>
          <w:i/>
          <w:spacing w:val="-5"/>
          <w:sz w:val="24"/>
        </w:rPr>
        <w:t> </w:t>
      </w:r>
      <w:r>
        <w:rPr>
          <w:i/>
          <w:spacing w:val="-2"/>
          <w:sz w:val="24"/>
        </w:rPr>
        <w:t>Implementation</w:t>
      </w:r>
    </w:p>
    <w:p>
      <w:pPr>
        <w:pStyle w:val="BodyText"/>
        <w:spacing w:before="5"/>
        <w:rPr>
          <w:i/>
        </w:rPr>
      </w:pPr>
    </w:p>
    <w:p>
      <w:pPr>
        <w:pStyle w:val="BodyText"/>
        <w:ind w:left="120" w:right="1220"/>
      </w:pPr>
      <w:r>
        <w:rPr/>
        <w:t>Due to the various CARES Act waivers discussed above, it is possible that a family determined to be over-income as of September 24, 2018, or later, would have had their second or final income reexamination delayed until December 31, 2020, (per PIH 2020-33) or later (per PIH 2021-14).</w:t>
      </w:r>
      <w:r>
        <w:rPr>
          <w:spacing w:val="-1"/>
        </w:rPr>
        <w:t> </w:t>
      </w:r>
      <w:r>
        <w:rPr/>
        <w:t>Depending</w:t>
      </w:r>
      <w:r>
        <w:rPr>
          <w:spacing w:val="-1"/>
        </w:rPr>
        <w:t> </w:t>
      </w:r>
      <w:r>
        <w:rPr/>
        <w:t>on</w:t>
      </w:r>
      <w:r>
        <w:rPr>
          <w:spacing w:val="-1"/>
        </w:rPr>
        <w:t> </w:t>
      </w:r>
      <w:r>
        <w:rPr/>
        <w:t>PHA</w:t>
      </w:r>
      <w:r>
        <w:rPr>
          <w:spacing w:val="-2"/>
        </w:rPr>
        <w:t> </w:t>
      </w:r>
      <w:r>
        <w:rPr/>
        <w:t>policy,</w:t>
      </w:r>
      <w:r>
        <w:rPr>
          <w:spacing w:val="-1"/>
        </w:rPr>
        <w:t> </w:t>
      </w:r>
      <w:r>
        <w:rPr/>
        <w:t>the</w:t>
      </w:r>
      <w:r>
        <w:rPr>
          <w:spacing w:val="-3"/>
        </w:rPr>
        <w:t> </w:t>
      </w:r>
      <w:r>
        <w:rPr/>
        <w:t>tenancy of</w:t>
      </w:r>
      <w:r>
        <w:rPr>
          <w:spacing w:val="-2"/>
        </w:rPr>
        <w:t> </w:t>
      </w:r>
      <w:r>
        <w:rPr/>
        <w:t>an</w:t>
      </w:r>
      <w:r>
        <w:rPr>
          <w:spacing w:val="-1"/>
        </w:rPr>
        <w:t> </w:t>
      </w:r>
      <w:r>
        <w:rPr/>
        <w:t>OI</w:t>
      </w:r>
      <w:r>
        <w:rPr>
          <w:spacing w:val="-3"/>
        </w:rPr>
        <w:t> </w:t>
      </w:r>
      <w:r>
        <w:rPr/>
        <w:t>family</w:t>
      </w:r>
      <w:r>
        <w:rPr>
          <w:spacing w:val="-2"/>
        </w:rPr>
        <w:t> </w:t>
      </w:r>
      <w:r>
        <w:rPr/>
        <w:t>could</w:t>
      </w:r>
      <w:r>
        <w:rPr>
          <w:spacing w:val="-2"/>
        </w:rPr>
        <w:t> </w:t>
      </w:r>
      <w:r>
        <w:rPr/>
        <w:t>have</w:t>
      </w:r>
      <w:r>
        <w:rPr>
          <w:spacing w:val="-3"/>
        </w:rPr>
        <w:t> </w:t>
      </w:r>
      <w:r>
        <w:rPr/>
        <w:t>been</w:t>
      </w:r>
      <w:r>
        <w:rPr>
          <w:spacing w:val="-2"/>
        </w:rPr>
        <w:t> </w:t>
      </w:r>
      <w:r>
        <w:rPr/>
        <w:t>terminated,</w:t>
      </w:r>
      <w:r>
        <w:rPr>
          <w:spacing w:val="-2"/>
        </w:rPr>
        <w:t> </w:t>
      </w:r>
      <w:r>
        <w:rPr/>
        <w:t>at the earliest, by June 30, 2021, or the family could have been required by the PHA to pay the applicable FMR for their unit beginning January 1, 2021, and ending December 31, 2021. If a PHA chose not to adopt these CARES Act waivers, the only option available to the PHA would have been to terminate the tenancy of the family within 6 months of the end of the grace period. PHAs</w:t>
      </w:r>
      <w:r>
        <w:rPr>
          <w:spacing w:val="-2"/>
        </w:rPr>
        <w:t> </w:t>
      </w:r>
      <w:r>
        <w:rPr/>
        <w:t>should</w:t>
      </w:r>
      <w:r>
        <w:rPr>
          <w:spacing w:val="-2"/>
        </w:rPr>
        <w:t> </w:t>
      </w:r>
      <w:r>
        <w:rPr/>
        <w:t>be</w:t>
      </w:r>
      <w:r>
        <w:rPr>
          <w:spacing w:val="-3"/>
        </w:rPr>
        <w:t> </w:t>
      </w:r>
      <w:r>
        <w:rPr/>
        <w:t>aware</w:t>
      </w:r>
      <w:r>
        <w:rPr>
          <w:spacing w:val="-4"/>
        </w:rPr>
        <w:t> </w:t>
      </w:r>
      <w:r>
        <w:rPr/>
        <w:t>that</w:t>
      </w:r>
      <w:r>
        <w:rPr>
          <w:spacing w:val="-2"/>
        </w:rPr>
        <w:t> </w:t>
      </w:r>
      <w:r>
        <w:rPr/>
        <w:t>with</w:t>
      </w:r>
      <w:r>
        <w:rPr>
          <w:spacing w:val="-2"/>
        </w:rPr>
        <w:t> </w:t>
      </w:r>
      <w:r>
        <w:rPr/>
        <w:t>the</w:t>
      </w:r>
      <w:r>
        <w:rPr>
          <w:spacing w:val="-3"/>
        </w:rPr>
        <w:t> </w:t>
      </w:r>
      <w:r>
        <w:rPr/>
        <w:t>publication</w:t>
      </w:r>
      <w:r>
        <w:rPr>
          <w:spacing w:val="-2"/>
        </w:rPr>
        <w:t> </w:t>
      </w:r>
      <w:r>
        <w:rPr/>
        <w:t>of</w:t>
      </w:r>
      <w:r>
        <w:rPr>
          <w:spacing w:val="-3"/>
        </w:rPr>
        <w:t> </w:t>
      </w:r>
      <w:r>
        <w:rPr/>
        <w:t>the</w:t>
      </w:r>
      <w:r>
        <w:rPr>
          <w:spacing w:val="-3"/>
        </w:rPr>
        <w:t> </w:t>
      </w:r>
      <w:r>
        <w:rPr/>
        <w:t>final</w:t>
      </w:r>
      <w:r>
        <w:rPr>
          <w:spacing w:val="-2"/>
        </w:rPr>
        <w:t> </w:t>
      </w:r>
      <w:r>
        <w:rPr/>
        <w:t>rule,</w:t>
      </w:r>
      <w:r>
        <w:rPr>
          <w:spacing w:val="-2"/>
        </w:rPr>
        <w:t> </w:t>
      </w:r>
      <w:r>
        <w:rPr/>
        <w:t>OI</w:t>
      </w:r>
      <w:r>
        <w:rPr>
          <w:spacing w:val="-4"/>
        </w:rPr>
        <w:t> </w:t>
      </w:r>
      <w:r>
        <w:rPr/>
        <w:t>families</w:t>
      </w:r>
      <w:r>
        <w:rPr>
          <w:spacing w:val="-2"/>
        </w:rPr>
        <w:t> </w:t>
      </w:r>
      <w:r>
        <w:rPr/>
        <w:t>that</w:t>
      </w:r>
      <w:r>
        <w:rPr>
          <w:spacing w:val="-2"/>
        </w:rPr>
        <w:t> </w:t>
      </w:r>
      <w:r>
        <w:rPr/>
        <w:t>have</w:t>
      </w:r>
      <w:r>
        <w:rPr>
          <w:spacing w:val="-4"/>
        </w:rPr>
        <w:t> </w:t>
      </w:r>
      <w:r>
        <w:rPr/>
        <w:t>completed the 24 consecutive month grace period or two consecutive reexamination cycles under the existing notification requirements do not get a new grace period.</w:t>
      </w:r>
    </w:p>
    <w:p>
      <w:pPr>
        <w:pStyle w:val="BodyText"/>
        <w:spacing w:before="9"/>
        <w:rPr>
          <w:sz w:val="23"/>
        </w:rPr>
      </w:pPr>
    </w:p>
    <w:p>
      <w:pPr>
        <w:pStyle w:val="BodyText"/>
        <w:ind w:left="120" w:right="1204"/>
      </w:pPr>
      <w:r>
        <w:rPr/>
        <w:t>The Section 103 requirements of the HOTMA final rule, specifically 24 CFR 960.507, 960.509 and</w:t>
      </w:r>
      <w:r>
        <w:rPr>
          <w:spacing w:val="-2"/>
        </w:rPr>
        <w:t> </w:t>
      </w:r>
      <w:r>
        <w:rPr/>
        <w:t>the</w:t>
      </w:r>
      <w:r>
        <w:rPr>
          <w:spacing w:val="-3"/>
        </w:rPr>
        <w:t> </w:t>
      </w:r>
      <w:r>
        <w:rPr/>
        <w:t>relevant</w:t>
      </w:r>
      <w:r>
        <w:rPr>
          <w:spacing w:val="-2"/>
        </w:rPr>
        <w:t> </w:t>
      </w:r>
      <w:r>
        <w:rPr/>
        <w:t>regulations</w:t>
      </w:r>
      <w:r>
        <w:rPr>
          <w:spacing w:val="-2"/>
        </w:rPr>
        <w:t> </w:t>
      </w:r>
      <w:r>
        <w:rPr/>
        <w:t>discussed</w:t>
      </w:r>
      <w:r>
        <w:rPr>
          <w:spacing w:val="-2"/>
        </w:rPr>
        <w:t> </w:t>
      </w:r>
      <w:r>
        <w:rPr/>
        <w:t>in</w:t>
      </w:r>
      <w:r>
        <w:rPr>
          <w:spacing w:val="-2"/>
        </w:rPr>
        <w:t> </w:t>
      </w:r>
      <w:r>
        <w:rPr/>
        <w:t>part</w:t>
      </w:r>
      <w:r>
        <w:rPr>
          <w:spacing w:val="-2"/>
        </w:rPr>
        <w:t> </w:t>
      </w:r>
      <w:r>
        <w:rPr/>
        <w:t>6</w:t>
      </w:r>
      <w:r>
        <w:rPr>
          <w:spacing w:val="-2"/>
        </w:rPr>
        <w:t> </w:t>
      </w:r>
      <w:r>
        <w:rPr/>
        <w:t>of</w:t>
      </w:r>
      <w:r>
        <w:rPr>
          <w:spacing w:val="-3"/>
        </w:rPr>
        <w:t> </w:t>
      </w:r>
      <w:r>
        <w:rPr/>
        <w:t>this</w:t>
      </w:r>
      <w:r>
        <w:rPr>
          <w:spacing w:val="-2"/>
        </w:rPr>
        <w:t> </w:t>
      </w:r>
      <w:r>
        <w:rPr/>
        <w:t>notice,</w:t>
      </w:r>
      <w:r>
        <w:rPr>
          <w:spacing w:val="-2"/>
        </w:rPr>
        <w:t> </w:t>
      </w:r>
      <w:r>
        <w:rPr/>
        <w:t>will</w:t>
      </w:r>
      <w:r>
        <w:rPr>
          <w:spacing w:val="-2"/>
        </w:rPr>
        <w:t> </w:t>
      </w:r>
      <w:r>
        <w:rPr/>
        <w:t>become</w:t>
      </w:r>
      <w:r>
        <w:rPr>
          <w:spacing w:val="-4"/>
        </w:rPr>
        <w:t> </w:t>
      </w:r>
      <w:r>
        <w:rPr/>
        <w:t>effective</w:t>
      </w:r>
      <w:r>
        <w:rPr>
          <w:spacing w:val="-3"/>
        </w:rPr>
        <w:t> </w:t>
      </w:r>
      <w:r>
        <w:rPr/>
        <w:t>30-days</w:t>
      </w:r>
      <w:r>
        <w:rPr>
          <w:spacing w:val="-2"/>
        </w:rPr>
        <w:t> </w:t>
      </w:r>
      <w:r>
        <w:rPr/>
        <w:t>after publication. At that time, the PHA should begin to implement their over-income policy after revising their ACOP if a significant amendment is not required. If the implementation of this provision requires a significant amendment to the PHA Plan, a PHA should immediately take steps</w:t>
      </w:r>
      <w:r>
        <w:rPr>
          <w:spacing w:val="-3"/>
        </w:rPr>
        <w:t> </w:t>
      </w:r>
      <w:r>
        <w:rPr/>
        <w:t>to</w:t>
      </w:r>
      <w:r>
        <w:rPr>
          <w:spacing w:val="-3"/>
        </w:rPr>
        <w:t> </w:t>
      </w:r>
      <w:r>
        <w:rPr/>
        <w:t>complete</w:t>
      </w:r>
      <w:r>
        <w:rPr>
          <w:spacing w:val="-4"/>
        </w:rPr>
        <w:t> </w:t>
      </w:r>
      <w:r>
        <w:rPr/>
        <w:t>the</w:t>
      </w:r>
      <w:r>
        <w:rPr>
          <w:spacing w:val="-4"/>
        </w:rPr>
        <w:t> </w:t>
      </w:r>
      <w:r>
        <w:rPr/>
        <w:t>significant</w:t>
      </w:r>
      <w:r>
        <w:rPr>
          <w:spacing w:val="-3"/>
        </w:rPr>
        <w:t> </w:t>
      </w:r>
      <w:r>
        <w:rPr/>
        <w:t>amendment</w:t>
      </w:r>
      <w:r>
        <w:rPr>
          <w:spacing w:val="-3"/>
        </w:rPr>
        <w:t> </w:t>
      </w:r>
      <w:r>
        <w:rPr/>
        <w:t>process</w:t>
      </w:r>
      <w:r>
        <w:rPr>
          <w:spacing w:val="-3"/>
        </w:rPr>
        <w:t> </w:t>
      </w:r>
      <w:r>
        <w:rPr/>
        <w:t>to</w:t>
      </w:r>
      <w:r>
        <w:rPr>
          <w:spacing w:val="-3"/>
        </w:rPr>
        <w:t> </w:t>
      </w:r>
      <w:r>
        <w:rPr/>
        <w:t>effectuate</w:t>
      </w:r>
      <w:r>
        <w:rPr>
          <w:spacing w:val="-4"/>
        </w:rPr>
        <w:t> </w:t>
      </w:r>
      <w:r>
        <w:rPr/>
        <w:t>the</w:t>
      </w:r>
      <w:r>
        <w:rPr>
          <w:spacing w:val="-4"/>
        </w:rPr>
        <w:t> </w:t>
      </w:r>
      <w:r>
        <w:rPr/>
        <w:t>policy</w:t>
      </w:r>
      <w:r>
        <w:rPr>
          <w:spacing w:val="-3"/>
        </w:rPr>
        <w:t> </w:t>
      </w:r>
      <w:r>
        <w:rPr/>
        <w:t>change</w:t>
      </w:r>
      <w:r>
        <w:rPr>
          <w:spacing w:val="-5"/>
        </w:rPr>
        <w:t> </w:t>
      </w:r>
      <w:r>
        <w:rPr/>
        <w:t>in</w:t>
      </w:r>
      <w:r>
        <w:rPr>
          <w:spacing w:val="-3"/>
        </w:rPr>
        <w:t> </w:t>
      </w:r>
      <w:r>
        <w:rPr/>
        <w:t>their</w:t>
      </w:r>
      <w:r>
        <w:rPr>
          <w:spacing w:val="-4"/>
        </w:rPr>
        <w:t> </w:t>
      </w:r>
      <w:r>
        <w:rPr/>
        <w:t>PHA Plan and ACOP no later than 120 days after the effective date of the over-income provisions of the HOTMA final rule. Specifically, this means that the OI</w:t>
      </w:r>
      <w:r>
        <w:rPr>
          <w:spacing w:val="-1"/>
        </w:rPr>
        <w:t> </w:t>
      </w:r>
      <w:r>
        <w:rPr/>
        <w:t>family’s tenancy and participation in the public housing program must end within six month of the final over-income determination and if the PHA policy permits the family to remain in a public housing unit, the family must be charged the alternative rent upon the completion of the grace period.</w:t>
      </w:r>
    </w:p>
    <w:p>
      <w:pPr>
        <w:pStyle w:val="BodyText"/>
        <w:rPr>
          <w:sz w:val="20"/>
        </w:rPr>
      </w:pPr>
    </w:p>
    <w:p>
      <w:pPr>
        <w:pStyle w:val="BodyText"/>
        <w:rPr>
          <w:sz w:val="20"/>
        </w:rPr>
      </w:pPr>
    </w:p>
    <w:p>
      <w:pPr>
        <w:pStyle w:val="BodyText"/>
        <w:rPr>
          <w:sz w:val="20"/>
        </w:rPr>
      </w:pPr>
    </w:p>
    <w:p>
      <w:pPr>
        <w:pStyle w:val="BodyText"/>
        <w:spacing w:before="9"/>
        <w:rPr>
          <w:sz w:val="22"/>
        </w:rPr>
      </w:pPr>
      <w:r>
        <w:rPr/>
        <w:pict>
          <v:rect style="position:absolute;margin-left:72pt;margin-top:14.312558pt;width:144pt;height:.71pt;mso-position-horizontal-relative:page;mso-position-vertical-relative:paragraph;z-index:-15726592;mso-wrap-distance-left:0;mso-wrap-distance-right:0" id="docshape7" filled="true" fillcolor="#000000" stroked="false">
            <v:fill type="solid"/>
            <w10:wrap type="topAndBottom"/>
          </v:rect>
        </w:pict>
      </w:r>
    </w:p>
    <w:p>
      <w:pPr>
        <w:spacing w:before="101"/>
        <w:ind w:left="120" w:right="0" w:firstLine="0"/>
        <w:jc w:val="left"/>
        <w:rPr>
          <w:sz w:val="20"/>
        </w:rPr>
      </w:pPr>
      <w:hyperlink w:history="true" w:anchor="_bookmark13">
        <w:r>
          <w:rPr>
            <w:sz w:val="20"/>
            <w:vertAlign w:val="superscript"/>
          </w:rPr>
          <w:t>5</w:t>
        </w:r>
      </w:hyperlink>
      <w:r>
        <w:rPr>
          <w:spacing w:val="-1"/>
          <w:sz w:val="20"/>
          <w:vertAlign w:val="baseline"/>
        </w:rPr>
        <w:t> </w:t>
      </w:r>
      <w:bookmarkStart w:name="_bookmark14" w:id="20"/>
      <w:bookmarkEnd w:id="20"/>
      <w:r>
        <w:rPr>
          <w:sz w:val="20"/>
          <w:vertAlign w:val="baseline"/>
        </w:rPr>
      </w:r>
      <w:hyperlink r:id="rId10">
        <w:r>
          <w:rPr>
            <w:color w:val="0562C1"/>
            <w:spacing w:val="-2"/>
            <w:sz w:val="20"/>
            <w:u w:val="single" w:color="0562C1"/>
            <w:vertAlign w:val="baseline"/>
          </w:rPr>
          <w:t>https://www.huduser.gov/portal/datasets/il.html</w:t>
        </w:r>
      </w:hyperlink>
    </w:p>
    <w:p>
      <w:pPr>
        <w:spacing w:after="0"/>
        <w:jc w:val="left"/>
        <w:rPr>
          <w:sz w:val="20"/>
        </w:rPr>
        <w:sectPr>
          <w:footerReference w:type="default" r:id="rId9"/>
          <w:pgSz w:w="12240" w:h="15840"/>
          <w:pgMar w:footer="1033" w:header="0" w:top="1360" w:bottom="1220" w:left="1320" w:right="240"/>
        </w:sectPr>
      </w:pPr>
    </w:p>
    <w:p>
      <w:pPr>
        <w:pStyle w:val="Heading2"/>
        <w:spacing w:before="79"/>
        <w:ind w:left="120" w:right="1482" w:firstLine="0"/>
      </w:pPr>
      <w:r>
        <w:rPr>
          <w:u w:val="single"/>
        </w:rPr>
        <w:t>All over-income requirements, specifically 24 CFR 960.507, 960.509 and the relevant</w:t>
      </w:r>
      <w:r>
        <w:rPr/>
        <w:t> </w:t>
      </w:r>
      <w:r>
        <w:rPr>
          <w:u w:val="single"/>
        </w:rPr>
        <w:t>regulations</w:t>
      </w:r>
      <w:r>
        <w:rPr>
          <w:spacing w:val="-2"/>
          <w:u w:val="single"/>
        </w:rPr>
        <w:t> </w:t>
      </w:r>
      <w:r>
        <w:rPr>
          <w:u w:val="single"/>
        </w:rPr>
        <w:t>discussed</w:t>
      </w:r>
      <w:r>
        <w:rPr>
          <w:spacing w:val="-2"/>
          <w:u w:val="single"/>
        </w:rPr>
        <w:t> </w:t>
      </w:r>
      <w:r>
        <w:rPr>
          <w:u w:val="single"/>
        </w:rPr>
        <w:t>in</w:t>
      </w:r>
      <w:r>
        <w:rPr>
          <w:spacing w:val="-4"/>
          <w:u w:val="single"/>
        </w:rPr>
        <w:t> </w:t>
      </w:r>
      <w:r>
        <w:rPr>
          <w:u w:val="single"/>
        </w:rPr>
        <w:t>part</w:t>
      </w:r>
      <w:r>
        <w:rPr>
          <w:spacing w:val="-3"/>
          <w:u w:val="single"/>
        </w:rPr>
        <w:t> </w:t>
      </w:r>
      <w:r>
        <w:rPr>
          <w:u w:val="single"/>
        </w:rPr>
        <w:t>6</w:t>
      </w:r>
      <w:r>
        <w:rPr>
          <w:spacing w:val="-2"/>
          <w:u w:val="single"/>
        </w:rPr>
        <w:t> </w:t>
      </w:r>
      <w:r>
        <w:rPr>
          <w:u w:val="single"/>
        </w:rPr>
        <w:t>of</w:t>
      </w:r>
      <w:r>
        <w:rPr>
          <w:spacing w:val="-3"/>
          <w:u w:val="single"/>
        </w:rPr>
        <w:t> </w:t>
      </w:r>
      <w:r>
        <w:rPr>
          <w:u w:val="single"/>
        </w:rPr>
        <w:t>this</w:t>
      </w:r>
      <w:r>
        <w:rPr>
          <w:spacing w:val="-2"/>
          <w:u w:val="single"/>
        </w:rPr>
        <w:t> </w:t>
      </w:r>
      <w:r>
        <w:rPr>
          <w:u w:val="single"/>
        </w:rPr>
        <w:t>notice,</w:t>
      </w:r>
      <w:r>
        <w:rPr>
          <w:spacing w:val="-3"/>
          <w:u w:val="single"/>
        </w:rPr>
        <w:t> </w:t>
      </w:r>
      <w:r>
        <w:rPr>
          <w:u w:val="single"/>
        </w:rPr>
        <w:t>are</w:t>
      </w:r>
      <w:r>
        <w:rPr>
          <w:spacing w:val="-5"/>
          <w:u w:val="single"/>
        </w:rPr>
        <w:t> </w:t>
      </w:r>
      <w:r>
        <w:rPr>
          <w:u w:val="single"/>
        </w:rPr>
        <w:t>now</w:t>
      </w:r>
      <w:r>
        <w:rPr>
          <w:spacing w:val="-3"/>
          <w:u w:val="single"/>
        </w:rPr>
        <w:t> </w:t>
      </w:r>
      <w:r>
        <w:rPr>
          <w:u w:val="single"/>
        </w:rPr>
        <w:t>effective</w:t>
      </w:r>
      <w:r>
        <w:rPr>
          <w:spacing w:val="-4"/>
          <w:u w:val="single"/>
        </w:rPr>
        <w:t> </w:t>
      </w:r>
      <w:r>
        <w:rPr>
          <w:u w:val="single"/>
        </w:rPr>
        <w:t>as</w:t>
      </w:r>
      <w:r>
        <w:rPr>
          <w:spacing w:val="-2"/>
          <w:u w:val="single"/>
        </w:rPr>
        <w:t> </w:t>
      </w:r>
      <w:r>
        <w:rPr>
          <w:u w:val="single"/>
        </w:rPr>
        <w:t>of</w:t>
      </w:r>
      <w:r>
        <w:rPr>
          <w:spacing w:val="-3"/>
          <w:u w:val="single"/>
        </w:rPr>
        <w:t> </w:t>
      </w:r>
      <w:r>
        <w:rPr>
          <w:u w:val="single"/>
        </w:rPr>
        <w:t>March,</w:t>
      </w:r>
      <w:r>
        <w:rPr>
          <w:spacing w:val="-2"/>
          <w:u w:val="single"/>
        </w:rPr>
        <w:t> </w:t>
      </w:r>
      <w:r>
        <w:rPr>
          <w:u w:val="single"/>
        </w:rPr>
        <w:t>16,</w:t>
      </w:r>
      <w:r>
        <w:rPr>
          <w:spacing w:val="-2"/>
          <w:u w:val="single"/>
        </w:rPr>
        <w:t> </w:t>
      </w:r>
      <w:r>
        <w:rPr>
          <w:u w:val="single"/>
        </w:rPr>
        <w:t>2023</w:t>
      </w:r>
      <w:r>
        <w:rPr>
          <w:spacing w:val="-2"/>
          <w:u w:val="single"/>
        </w:rPr>
        <w:t> </w:t>
      </w:r>
      <w:r>
        <w:rPr>
          <w:u w:val="single"/>
        </w:rPr>
        <w:t>and</w:t>
      </w:r>
      <w:r>
        <w:rPr/>
        <w:t> </w:t>
      </w:r>
      <w:r>
        <w:rPr>
          <w:u w:val="single"/>
        </w:rPr>
        <w:t>are to be fully implemented by June 14, 2023.</w:t>
      </w:r>
    </w:p>
    <w:p>
      <w:pPr>
        <w:pStyle w:val="BodyText"/>
        <w:spacing w:before="2"/>
        <w:rPr>
          <w:b/>
          <w:sz w:val="16"/>
        </w:rPr>
      </w:pPr>
    </w:p>
    <w:p>
      <w:pPr>
        <w:pStyle w:val="Heading2"/>
        <w:numPr>
          <w:ilvl w:val="0"/>
          <w:numId w:val="2"/>
        </w:numPr>
        <w:tabs>
          <w:tab w:pos="840" w:val="left" w:leader="none"/>
        </w:tabs>
        <w:spacing w:line="240" w:lineRule="auto" w:before="90" w:after="0"/>
        <w:ind w:left="840" w:right="0" w:hanging="360"/>
        <w:jc w:val="left"/>
      </w:pPr>
      <w:bookmarkStart w:name="6. Summary of Associated Regulatory Chan" w:id="21"/>
      <w:bookmarkEnd w:id="21"/>
      <w:r>
        <w:rPr>
          <w:b w:val="0"/>
        </w:rPr>
      </w:r>
      <w:bookmarkStart w:name="_bookmark15" w:id="22"/>
      <w:bookmarkEnd w:id="22"/>
      <w:r>
        <w:rPr/>
        <w:t>S</w:t>
      </w:r>
      <w:r>
        <w:rPr/>
        <w:t>ummary</w:t>
      </w:r>
      <w:r>
        <w:rPr>
          <w:spacing w:val="-9"/>
        </w:rPr>
        <w:t> </w:t>
      </w:r>
      <w:r>
        <w:rPr/>
        <w:t>of</w:t>
      </w:r>
      <w:r>
        <w:rPr>
          <w:spacing w:val="-9"/>
        </w:rPr>
        <w:t> </w:t>
      </w:r>
      <w:r>
        <w:rPr/>
        <w:t>Associated</w:t>
      </w:r>
      <w:r>
        <w:rPr>
          <w:spacing w:val="-7"/>
        </w:rPr>
        <w:t> </w:t>
      </w:r>
      <w:r>
        <w:rPr/>
        <w:t>Regulatory</w:t>
      </w:r>
      <w:r>
        <w:rPr>
          <w:spacing w:val="-8"/>
        </w:rPr>
        <w:t> </w:t>
      </w:r>
      <w:r>
        <w:rPr>
          <w:spacing w:val="-2"/>
        </w:rPr>
        <w:t>Changes</w:t>
      </w:r>
    </w:p>
    <w:p>
      <w:pPr>
        <w:pStyle w:val="BodyText"/>
        <w:spacing w:line="237" w:lineRule="auto" w:before="43"/>
        <w:ind w:left="120" w:right="1204"/>
      </w:pPr>
      <w:r>
        <w:rPr/>
        <w:t>The HOTMA final rule includes the new over-income requirements and makes necessary conforming changes to existing regulation including the removal of 24 CFR 960.261. The final rule</w:t>
      </w:r>
      <w:r>
        <w:rPr>
          <w:spacing w:val="-1"/>
        </w:rPr>
        <w:t> </w:t>
      </w:r>
      <w:r>
        <w:rPr/>
        <w:t>updated existing requirements in 24 CFR 5.520, 5.628, 960.102, 960.206, 960.253, 960.601, 964.125,</w:t>
      </w:r>
      <w:r>
        <w:rPr>
          <w:spacing w:val="-1"/>
        </w:rPr>
        <w:t> </w:t>
      </w:r>
      <w:r>
        <w:rPr/>
        <w:t>and</w:t>
      </w:r>
      <w:r>
        <w:rPr>
          <w:spacing w:val="-1"/>
        </w:rPr>
        <w:t> </w:t>
      </w:r>
      <w:r>
        <w:rPr/>
        <w:t>966.4.</w:t>
      </w:r>
      <w:r>
        <w:rPr>
          <w:spacing w:val="-1"/>
        </w:rPr>
        <w:t> </w:t>
      </w:r>
      <w:r>
        <w:rPr/>
        <w:t>All</w:t>
      </w:r>
      <w:r>
        <w:rPr>
          <w:spacing w:val="-1"/>
        </w:rPr>
        <w:t> </w:t>
      </w:r>
      <w:r>
        <w:rPr/>
        <w:t>regulatory</w:t>
      </w:r>
      <w:r>
        <w:rPr>
          <w:spacing w:val="-1"/>
        </w:rPr>
        <w:t> </w:t>
      </w:r>
      <w:r>
        <w:rPr/>
        <w:t>changes</w:t>
      </w:r>
      <w:r>
        <w:rPr>
          <w:spacing w:val="-1"/>
        </w:rPr>
        <w:t> </w:t>
      </w:r>
      <w:r>
        <w:rPr/>
        <w:t>are</w:t>
      </w:r>
      <w:r>
        <w:rPr>
          <w:spacing w:val="-3"/>
        </w:rPr>
        <w:t> </w:t>
      </w:r>
      <w:r>
        <w:rPr/>
        <w:t>summarized</w:t>
      </w:r>
      <w:r>
        <w:rPr>
          <w:spacing w:val="-1"/>
        </w:rPr>
        <w:t> </w:t>
      </w:r>
      <w:r>
        <w:rPr/>
        <w:t>below</w:t>
      </w:r>
      <w:r>
        <w:rPr>
          <w:spacing w:val="-2"/>
        </w:rPr>
        <w:t> </w:t>
      </w:r>
      <w:r>
        <w:rPr/>
        <w:t>in</w:t>
      </w:r>
      <w:r>
        <w:rPr>
          <w:spacing w:val="-1"/>
        </w:rPr>
        <w:t> </w:t>
      </w:r>
      <w:r>
        <w:rPr/>
        <w:t>numerical</w:t>
      </w:r>
      <w:r>
        <w:rPr>
          <w:spacing w:val="-1"/>
        </w:rPr>
        <w:t> </w:t>
      </w:r>
      <w:r>
        <w:rPr/>
        <w:t>order</w:t>
      </w:r>
      <w:r>
        <w:rPr>
          <w:spacing w:val="-2"/>
        </w:rPr>
        <w:t> </w:t>
      </w:r>
      <w:r>
        <w:rPr/>
        <w:t>(except</w:t>
      </w:r>
      <w:r>
        <w:rPr>
          <w:spacing w:val="-1"/>
        </w:rPr>
        <w:t> </w:t>
      </w:r>
      <w:r>
        <w:rPr/>
        <w:t>for the parts containing definitions). Parts 960.507, and 960.509 are new regulations specific to the implementation</w:t>
      </w:r>
      <w:r>
        <w:rPr>
          <w:spacing w:val="-3"/>
        </w:rPr>
        <w:t> </w:t>
      </w:r>
      <w:r>
        <w:rPr/>
        <w:t>of</w:t>
      </w:r>
      <w:r>
        <w:rPr>
          <w:spacing w:val="-4"/>
        </w:rPr>
        <w:t> </w:t>
      </w:r>
      <w:r>
        <w:rPr/>
        <w:t>the</w:t>
      </w:r>
      <w:r>
        <w:rPr>
          <w:spacing w:val="-4"/>
        </w:rPr>
        <w:t> </w:t>
      </w:r>
      <w:r>
        <w:rPr/>
        <w:t>over-income</w:t>
      </w:r>
      <w:r>
        <w:rPr>
          <w:spacing w:val="-2"/>
        </w:rPr>
        <w:t> </w:t>
      </w:r>
      <w:r>
        <w:rPr/>
        <w:t>requirements</w:t>
      </w:r>
      <w:r>
        <w:rPr>
          <w:spacing w:val="-3"/>
        </w:rPr>
        <w:t> </w:t>
      </w:r>
      <w:r>
        <w:rPr/>
        <w:t>and</w:t>
      </w:r>
      <w:r>
        <w:rPr>
          <w:spacing w:val="-3"/>
        </w:rPr>
        <w:t> </w:t>
      </w:r>
      <w:r>
        <w:rPr/>
        <w:t>will</w:t>
      </w:r>
      <w:r>
        <w:rPr>
          <w:spacing w:val="-3"/>
        </w:rPr>
        <w:t> </w:t>
      </w:r>
      <w:r>
        <w:rPr/>
        <w:t>be</w:t>
      </w:r>
      <w:r>
        <w:rPr>
          <w:spacing w:val="-4"/>
        </w:rPr>
        <w:t> </w:t>
      </w:r>
      <w:r>
        <w:rPr/>
        <w:t>discussed</w:t>
      </w:r>
      <w:r>
        <w:rPr>
          <w:spacing w:val="-3"/>
        </w:rPr>
        <w:t> </w:t>
      </w:r>
      <w:r>
        <w:rPr/>
        <w:t>in</w:t>
      </w:r>
      <w:r>
        <w:rPr>
          <w:spacing w:val="-3"/>
        </w:rPr>
        <w:t> </w:t>
      </w:r>
      <w:r>
        <w:rPr/>
        <w:t>section</w:t>
      </w:r>
      <w:r>
        <w:rPr>
          <w:spacing w:val="-3"/>
        </w:rPr>
        <w:t> </w:t>
      </w:r>
      <w:r>
        <w:rPr/>
        <w:t>7</w:t>
      </w:r>
      <w:r>
        <w:rPr>
          <w:spacing w:val="-3"/>
        </w:rPr>
        <w:t> </w:t>
      </w:r>
      <w:r>
        <w:rPr/>
        <w:t>of</w:t>
      </w:r>
      <w:r>
        <w:rPr>
          <w:spacing w:val="-4"/>
        </w:rPr>
        <w:t> </w:t>
      </w:r>
      <w:r>
        <w:rPr/>
        <w:t>this</w:t>
      </w:r>
      <w:r>
        <w:rPr>
          <w:spacing w:val="-3"/>
        </w:rPr>
        <w:t> </w:t>
      </w:r>
      <w:r>
        <w:rPr/>
        <w:t>notice.</w:t>
      </w:r>
    </w:p>
    <w:p>
      <w:pPr>
        <w:pStyle w:val="BodyText"/>
        <w:spacing w:before="11"/>
        <w:rPr>
          <w:sz w:val="27"/>
        </w:rPr>
      </w:pPr>
    </w:p>
    <w:p>
      <w:pPr>
        <w:spacing w:before="0"/>
        <w:ind w:left="120" w:right="0" w:firstLine="0"/>
        <w:jc w:val="left"/>
        <w:rPr>
          <w:sz w:val="24"/>
        </w:rPr>
      </w:pPr>
      <w:r>
        <w:rPr>
          <w:i/>
          <w:sz w:val="24"/>
        </w:rPr>
        <w:t>24</w:t>
      </w:r>
      <w:r>
        <w:rPr>
          <w:i/>
          <w:spacing w:val="-3"/>
          <w:sz w:val="24"/>
        </w:rPr>
        <w:t> </w:t>
      </w:r>
      <w:r>
        <w:rPr>
          <w:i/>
          <w:sz w:val="24"/>
        </w:rPr>
        <w:t>CFR</w:t>
      </w:r>
      <w:r>
        <w:rPr>
          <w:i/>
          <w:spacing w:val="-4"/>
          <w:sz w:val="24"/>
        </w:rPr>
        <w:t> </w:t>
      </w:r>
      <w:r>
        <w:rPr>
          <w:i/>
          <w:sz w:val="24"/>
        </w:rPr>
        <w:t>5.520</w:t>
      </w:r>
      <w:r>
        <w:rPr>
          <w:i/>
          <w:spacing w:val="-3"/>
          <w:sz w:val="24"/>
        </w:rPr>
        <w:t> </w:t>
      </w:r>
      <w:r>
        <w:rPr>
          <w:sz w:val="24"/>
        </w:rPr>
        <w:t>-</w:t>
      </w:r>
      <w:r>
        <w:rPr>
          <w:spacing w:val="-3"/>
          <w:sz w:val="24"/>
        </w:rPr>
        <w:t> </w:t>
      </w:r>
      <w:r>
        <w:rPr>
          <w:sz w:val="24"/>
        </w:rPr>
        <w:t>Restrictions</w:t>
      </w:r>
      <w:r>
        <w:rPr>
          <w:spacing w:val="-4"/>
          <w:sz w:val="24"/>
        </w:rPr>
        <w:t> </w:t>
      </w:r>
      <w:r>
        <w:rPr>
          <w:sz w:val="24"/>
        </w:rPr>
        <w:t>on</w:t>
      </w:r>
      <w:r>
        <w:rPr>
          <w:spacing w:val="-3"/>
          <w:sz w:val="24"/>
        </w:rPr>
        <w:t> </w:t>
      </w:r>
      <w:r>
        <w:rPr>
          <w:sz w:val="24"/>
        </w:rPr>
        <w:t>assistance</w:t>
      </w:r>
      <w:r>
        <w:rPr>
          <w:spacing w:val="-5"/>
          <w:sz w:val="24"/>
        </w:rPr>
        <w:t> </w:t>
      </w:r>
      <w:r>
        <w:rPr>
          <w:sz w:val="24"/>
        </w:rPr>
        <w:t>to</w:t>
      </w:r>
      <w:r>
        <w:rPr>
          <w:spacing w:val="-2"/>
          <w:sz w:val="24"/>
        </w:rPr>
        <w:t> Noncitizens</w:t>
      </w:r>
    </w:p>
    <w:p>
      <w:pPr>
        <w:pStyle w:val="BodyText"/>
        <w:spacing w:line="237" w:lineRule="auto" w:before="43"/>
        <w:ind w:left="120" w:right="1204"/>
      </w:pPr>
      <w:r>
        <w:rPr/>
        <w:t>A conforming change was made to paragraph (d)(1) of this section to clarify that a PHA must provide</w:t>
      </w:r>
      <w:r>
        <w:rPr>
          <w:spacing w:val="-4"/>
        </w:rPr>
        <w:t> </w:t>
      </w:r>
      <w:r>
        <w:rPr/>
        <w:t>prorated</w:t>
      </w:r>
      <w:r>
        <w:rPr>
          <w:spacing w:val="-3"/>
        </w:rPr>
        <w:t> </w:t>
      </w:r>
      <w:r>
        <w:rPr/>
        <w:t>assistance</w:t>
      </w:r>
      <w:r>
        <w:rPr>
          <w:spacing w:val="-5"/>
        </w:rPr>
        <w:t> </w:t>
      </w:r>
      <w:r>
        <w:rPr/>
        <w:t>to</w:t>
      </w:r>
      <w:r>
        <w:rPr>
          <w:spacing w:val="-3"/>
        </w:rPr>
        <w:t> </w:t>
      </w:r>
      <w:r>
        <w:rPr/>
        <w:t>mixed</w:t>
      </w:r>
      <w:r>
        <w:rPr>
          <w:spacing w:val="-3"/>
        </w:rPr>
        <w:t> </w:t>
      </w:r>
      <w:r>
        <w:rPr/>
        <w:t>immigration</w:t>
      </w:r>
      <w:r>
        <w:rPr>
          <w:spacing w:val="-3"/>
        </w:rPr>
        <w:t> </w:t>
      </w:r>
      <w:r>
        <w:rPr/>
        <w:t>status</w:t>
      </w:r>
      <w:r>
        <w:rPr>
          <w:spacing w:val="-3"/>
        </w:rPr>
        <w:t> </w:t>
      </w:r>
      <w:r>
        <w:rPr/>
        <w:t>families,</w:t>
      </w:r>
      <w:r>
        <w:rPr>
          <w:spacing w:val="-3"/>
        </w:rPr>
        <w:t> </w:t>
      </w:r>
      <w:r>
        <w:rPr/>
        <w:t>except</w:t>
      </w:r>
      <w:r>
        <w:rPr>
          <w:spacing w:val="-3"/>
        </w:rPr>
        <w:t> </w:t>
      </w:r>
      <w:r>
        <w:rPr/>
        <w:t>as</w:t>
      </w:r>
      <w:r>
        <w:rPr>
          <w:spacing w:val="-1"/>
        </w:rPr>
        <w:t> </w:t>
      </w:r>
      <w:r>
        <w:rPr/>
        <w:t>provided</w:t>
      </w:r>
      <w:r>
        <w:rPr>
          <w:spacing w:val="-3"/>
        </w:rPr>
        <w:t> </w:t>
      </w:r>
      <w:r>
        <w:rPr/>
        <w:t>in</w:t>
      </w:r>
      <w:r>
        <w:rPr>
          <w:spacing w:val="-3"/>
        </w:rPr>
        <w:t> </w:t>
      </w:r>
      <w:r>
        <w:rPr/>
        <w:t>24</w:t>
      </w:r>
      <w:r>
        <w:rPr>
          <w:spacing w:val="-3"/>
        </w:rPr>
        <w:t> </w:t>
      </w:r>
      <w:r>
        <w:rPr/>
        <w:t>CFR</w:t>
      </w:r>
    </w:p>
    <w:p>
      <w:pPr>
        <w:pStyle w:val="BodyText"/>
        <w:spacing w:line="237" w:lineRule="auto" w:before="1"/>
        <w:ind w:left="120" w:right="1204"/>
      </w:pPr>
      <w:r>
        <w:rPr/>
        <w:t>960.507.</w:t>
      </w:r>
      <w:r>
        <w:rPr>
          <w:spacing w:val="40"/>
        </w:rPr>
        <w:t> </w:t>
      </w:r>
      <w:r>
        <w:rPr/>
        <w:t>Once a mixed family has exceeded the over-income limit for 24 consecutive months, the family will either have their tenancy terminated or they must pay the alternative rent as an NPHOI family. For a PHA with a termination policy for over-income families, mixed families will</w:t>
      </w:r>
      <w:r>
        <w:rPr>
          <w:spacing w:val="-3"/>
        </w:rPr>
        <w:t> </w:t>
      </w:r>
      <w:r>
        <w:rPr/>
        <w:t>pay</w:t>
      </w:r>
      <w:r>
        <w:rPr>
          <w:spacing w:val="-3"/>
        </w:rPr>
        <w:t> </w:t>
      </w:r>
      <w:r>
        <w:rPr/>
        <w:t>their</w:t>
      </w:r>
      <w:r>
        <w:rPr>
          <w:spacing w:val="-4"/>
        </w:rPr>
        <w:t> </w:t>
      </w:r>
      <w:r>
        <w:rPr/>
        <w:t>current,</w:t>
      </w:r>
      <w:r>
        <w:rPr>
          <w:spacing w:val="-3"/>
        </w:rPr>
        <w:t> </w:t>
      </w:r>
      <w:r>
        <w:rPr/>
        <w:t>prorated</w:t>
      </w:r>
      <w:r>
        <w:rPr>
          <w:spacing w:val="-3"/>
        </w:rPr>
        <w:t> </w:t>
      </w:r>
      <w:r>
        <w:rPr/>
        <w:t>rent</w:t>
      </w:r>
      <w:r>
        <w:rPr>
          <w:spacing w:val="-3"/>
        </w:rPr>
        <w:t> </w:t>
      </w:r>
      <w:r>
        <w:rPr/>
        <w:t>amount</w:t>
      </w:r>
      <w:r>
        <w:rPr>
          <w:spacing w:val="-3"/>
        </w:rPr>
        <w:t> </w:t>
      </w:r>
      <w:r>
        <w:rPr/>
        <w:t>during</w:t>
      </w:r>
      <w:r>
        <w:rPr>
          <w:spacing w:val="-3"/>
        </w:rPr>
        <w:t> </w:t>
      </w:r>
      <w:r>
        <w:rPr/>
        <w:t>the</w:t>
      </w:r>
      <w:r>
        <w:rPr>
          <w:spacing w:val="-5"/>
        </w:rPr>
        <w:t> </w:t>
      </w:r>
      <w:r>
        <w:rPr/>
        <w:t>6-month</w:t>
      </w:r>
      <w:r>
        <w:rPr>
          <w:spacing w:val="-3"/>
        </w:rPr>
        <w:t> </w:t>
      </w:r>
      <w:r>
        <w:rPr/>
        <w:t>period</w:t>
      </w:r>
      <w:r>
        <w:rPr>
          <w:spacing w:val="-3"/>
        </w:rPr>
        <w:t> </w:t>
      </w:r>
      <w:r>
        <w:rPr/>
        <w:t>before</w:t>
      </w:r>
      <w:r>
        <w:rPr>
          <w:spacing w:val="-4"/>
        </w:rPr>
        <w:t> </w:t>
      </w:r>
      <w:r>
        <w:rPr/>
        <w:t>termination.</w:t>
      </w:r>
      <w:r>
        <w:rPr>
          <w:spacing w:val="40"/>
        </w:rPr>
        <w:t> </w:t>
      </w:r>
      <w:r>
        <w:rPr/>
        <w:t>If</w:t>
      </w:r>
      <w:r>
        <w:rPr>
          <w:spacing w:val="-4"/>
        </w:rPr>
        <w:t> </w:t>
      </w:r>
      <w:r>
        <w:rPr/>
        <w:t>the mixed family is permitted to pay the alternative rent then, pursuant to 24 CFR 5.520(d)(1), the mixed family must not receive prorated assistance. Instead, the family must pay the full alternative rent amount.</w:t>
      </w:r>
    </w:p>
    <w:p>
      <w:pPr>
        <w:pStyle w:val="BodyText"/>
        <w:spacing w:before="3"/>
      </w:pPr>
    </w:p>
    <w:p>
      <w:pPr>
        <w:spacing w:before="0"/>
        <w:ind w:left="120" w:right="0" w:firstLine="0"/>
        <w:jc w:val="left"/>
        <w:rPr>
          <w:sz w:val="24"/>
        </w:rPr>
      </w:pPr>
      <w:r>
        <w:rPr>
          <w:i/>
          <w:sz w:val="24"/>
        </w:rPr>
        <w:t>24</w:t>
      </w:r>
      <w:r>
        <w:rPr>
          <w:i/>
          <w:spacing w:val="-1"/>
          <w:sz w:val="24"/>
        </w:rPr>
        <w:t> </w:t>
      </w:r>
      <w:r>
        <w:rPr>
          <w:i/>
          <w:sz w:val="24"/>
        </w:rPr>
        <w:t>CFR</w:t>
      </w:r>
      <w:r>
        <w:rPr>
          <w:i/>
          <w:spacing w:val="-2"/>
          <w:sz w:val="24"/>
        </w:rPr>
        <w:t> </w:t>
      </w:r>
      <w:r>
        <w:rPr>
          <w:i/>
          <w:sz w:val="24"/>
        </w:rPr>
        <w:t>5.628</w:t>
      </w:r>
      <w:r>
        <w:rPr>
          <w:i/>
          <w:spacing w:val="-1"/>
          <w:sz w:val="24"/>
        </w:rPr>
        <w:t> </w:t>
      </w:r>
      <w:r>
        <w:rPr>
          <w:sz w:val="24"/>
        </w:rPr>
        <w:t>-</w:t>
      </w:r>
      <w:r>
        <w:rPr>
          <w:spacing w:val="-2"/>
          <w:sz w:val="24"/>
        </w:rPr>
        <w:t> </w:t>
      </w:r>
      <w:r>
        <w:rPr>
          <w:sz w:val="24"/>
        </w:rPr>
        <w:t>Family</w:t>
      </w:r>
      <w:r>
        <w:rPr>
          <w:spacing w:val="-1"/>
          <w:sz w:val="24"/>
        </w:rPr>
        <w:t> </w:t>
      </w:r>
      <w:r>
        <w:rPr>
          <w:spacing w:val="-2"/>
          <w:sz w:val="24"/>
        </w:rPr>
        <w:t>Payment</w:t>
      </w:r>
    </w:p>
    <w:p>
      <w:pPr>
        <w:pStyle w:val="BodyText"/>
        <w:spacing w:line="237" w:lineRule="auto" w:before="43"/>
        <w:ind w:left="120" w:right="1268"/>
      </w:pPr>
      <w:r>
        <w:rPr/>
        <w:t>A new sub-paragraph was added at 24 CFR 5.628(a)(5) clarifying that the options available under</w:t>
      </w:r>
      <w:r>
        <w:rPr>
          <w:spacing w:val="-3"/>
        </w:rPr>
        <w:t> </w:t>
      </w:r>
      <w:r>
        <w:rPr/>
        <w:t>the</w:t>
      </w:r>
      <w:r>
        <w:rPr>
          <w:spacing w:val="-4"/>
        </w:rPr>
        <w:t> </w:t>
      </w:r>
      <w:r>
        <w:rPr/>
        <w:t>total</w:t>
      </w:r>
      <w:r>
        <w:rPr>
          <w:spacing w:val="-2"/>
        </w:rPr>
        <w:t> </w:t>
      </w:r>
      <w:r>
        <w:rPr/>
        <w:t>tenant</w:t>
      </w:r>
      <w:r>
        <w:rPr>
          <w:spacing w:val="-2"/>
        </w:rPr>
        <w:t> </w:t>
      </w:r>
      <w:r>
        <w:rPr/>
        <w:t>payment</w:t>
      </w:r>
      <w:r>
        <w:rPr>
          <w:spacing w:val="-2"/>
        </w:rPr>
        <w:t> </w:t>
      </w:r>
      <w:r>
        <w:rPr/>
        <w:t>(TTP)</w:t>
      </w:r>
      <w:r>
        <w:rPr>
          <w:spacing w:val="-4"/>
        </w:rPr>
        <w:t> </w:t>
      </w:r>
      <w:r>
        <w:rPr/>
        <w:t>now</w:t>
      </w:r>
      <w:r>
        <w:rPr>
          <w:spacing w:val="-4"/>
        </w:rPr>
        <w:t> </w:t>
      </w:r>
      <w:r>
        <w:rPr/>
        <w:t>include</w:t>
      </w:r>
      <w:r>
        <w:rPr>
          <w:spacing w:val="-2"/>
        </w:rPr>
        <w:t> </w:t>
      </w:r>
      <w:r>
        <w:rPr/>
        <w:t>the</w:t>
      </w:r>
      <w:r>
        <w:rPr>
          <w:spacing w:val="-5"/>
        </w:rPr>
        <w:t> </w:t>
      </w:r>
      <w:r>
        <w:rPr/>
        <w:t>alternative</w:t>
      </w:r>
      <w:r>
        <w:rPr>
          <w:spacing w:val="-5"/>
        </w:rPr>
        <w:t> </w:t>
      </w:r>
      <w:r>
        <w:rPr/>
        <w:t>rent</w:t>
      </w:r>
      <w:r>
        <w:rPr>
          <w:spacing w:val="-3"/>
        </w:rPr>
        <w:t> </w:t>
      </w:r>
      <w:r>
        <w:rPr/>
        <w:t>(as</w:t>
      </w:r>
      <w:r>
        <w:rPr>
          <w:spacing w:val="-2"/>
        </w:rPr>
        <w:t> </w:t>
      </w:r>
      <w:r>
        <w:rPr/>
        <w:t>defined</w:t>
      </w:r>
      <w:r>
        <w:rPr>
          <w:spacing w:val="-2"/>
        </w:rPr>
        <w:t> </w:t>
      </w:r>
      <w:r>
        <w:rPr/>
        <w:t>in</w:t>
      </w:r>
      <w:r>
        <w:rPr>
          <w:spacing w:val="-2"/>
        </w:rPr>
        <w:t> </w:t>
      </w:r>
      <w:r>
        <w:rPr/>
        <w:t>960.102)</w:t>
      </w:r>
      <w:r>
        <w:rPr>
          <w:spacing w:val="-3"/>
        </w:rPr>
        <w:t> </w:t>
      </w:r>
      <w:r>
        <w:rPr/>
        <w:t>for NPHOI housing families.</w:t>
      </w:r>
    </w:p>
    <w:p>
      <w:pPr>
        <w:pStyle w:val="BodyText"/>
        <w:spacing w:before="7"/>
        <w:rPr>
          <w:sz w:val="27"/>
        </w:rPr>
      </w:pPr>
    </w:p>
    <w:p>
      <w:pPr>
        <w:spacing w:before="1"/>
        <w:ind w:left="120" w:right="0" w:firstLine="0"/>
        <w:jc w:val="left"/>
        <w:rPr>
          <w:sz w:val="24"/>
        </w:rPr>
      </w:pPr>
      <w:r>
        <w:rPr>
          <w:i/>
          <w:sz w:val="24"/>
        </w:rPr>
        <w:t>24 CFR</w:t>
      </w:r>
      <w:r>
        <w:rPr>
          <w:i/>
          <w:spacing w:val="-1"/>
          <w:sz w:val="24"/>
        </w:rPr>
        <w:t> </w:t>
      </w:r>
      <w:r>
        <w:rPr>
          <w:i/>
          <w:sz w:val="24"/>
        </w:rPr>
        <w:t>960.102 and 24 CFR</w:t>
      </w:r>
      <w:r>
        <w:rPr>
          <w:i/>
          <w:spacing w:val="-1"/>
          <w:sz w:val="24"/>
        </w:rPr>
        <w:t> </w:t>
      </w:r>
      <w:r>
        <w:rPr>
          <w:i/>
          <w:sz w:val="24"/>
        </w:rPr>
        <w:t>960.601 </w:t>
      </w:r>
      <w:r>
        <w:rPr>
          <w:sz w:val="24"/>
        </w:rPr>
        <w:t>-</w:t>
      </w:r>
      <w:r>
        <w:rPr>
          <w:spacing w:val="-1"/>
          <w:sz w:val="24"/>
        </w:rPr>
        <w:t> </w:t>
      </w:r>
      <w:r>
        <w:rPr>
          <w:spacing w:val="-2"/>
          <w:sz w:val="24"/>
        </w:rPr>
        <w:t>Definitions</w:t>
      </w:r>
    </w:p>
    <w:p>
      <w:pPr>
        <w:pStyle w:val="BodyText"/>
        <w:spacing w:line="237" w:lineRule="auto" w:before="48"/>
        <w:ind w:left="120" w:right="1204"/>
      </w:pPr>
      <w:r>
        <w:rPr/>
        <w:t>Additional definitions and clarifications were added to these sections to implement the new requirements found at 24 CFR 960.507 for families exceeding the over-income limit. These changes</w:t>
      </w:r>
      <w:r>
        <w:rPr>
          <w:spacing w:val="-3"/>
        </w:rPr>
        <w:t> </w:t>
      </w:r>
      <w:r>
        <w:rPr/>
        <w:t>create</w:t>
      </w:r>
      <w:r>
        <w:rPr>
          <w:spacing w:val="-5"/>
        </w:rPr>
        <w:t> </w:t>
      </w:r>
      <w:r>
        <w:rPr/>
        <w:t>new</w:t>
      </w:r>
      <w:r>
        <w:rPr>
          <w:spacing w:val="-4"/>
        </w:rPr>
        <w:t> </w:t>
      </w:r>
      <w:r>
        <w:rPr/>
        <w:t>definition</w:t>
      </w:r>
      <w:r>
        <w:rPr>
          <w:spacing w:val="-3"/>
        </w:rPr>
        <w:t> </w:t>
      </w:r>
      <w:r>
        <w:rPr/>
        <w:t>in</w:t>
      </w:r>
      <w:r>
        <w:rPr>
          <w:spacing w:val="-3"/>
        </w:rPr>
        <w:t> </w:t>
      </w:r>
      <w:r>
        <w:rPr/>
        <w:t>24</w:t>
      </w:r>
      <w:r>
        <w:rPr>
          <w:spacing w:val="-3"/>
        </w:rPr>
        <w:t> </w:t>
      </w:r>
      <w:r>
        <w:rPr/>
        <w:t>CFR</w:t>
      </w:r>
      <w:r>
        <w:rPr>
          <w:spacing w:val="-3"/>
        </w:rPr>
        <w:t> </w:t>
      </w:r>
      <w:r>
        <w:rPr/>
        <w:t>960.102</w:t>
      </w:r>
      <w:r>
        <w:rPr>
          <w:spacing w:val="-6"/>
        </w:rPr>
        <w:t> </w:t>
      </w:r>
      <w:r>
        <w:rPr/>
        <w:t>for</w:t>
      </w:r>
      <w:r>
        <w:rPr>
          <w:spacing w:val="-4"/>
        </w:rPr>
        <w:t> </w:t>
      </w:r>
      <w:r>
        <w:rPr/>
        <w:t>the</w:t>
      </w:r>
      <w:r>
        <w:rPr>
          <w:spacing w:val="-4"/>
        </w:rPr>
        <w:t> </w:t>
      </w:r>
      <w:r>
        <w:rPr/>
        <w:t>following</w:t>
      </w:r>
      <w:r>
        <w:rPr>
          <w:spacing w:val="-3"/>
        </w:rPr>
        <w:t> </w:t>
      </w:r>
      <w:r>
        <w:rPr/>
        <w:t>terms:</w:t>
      </w:r>
      <w:r>
        <w:rPr>
          <w:spacing w:val="-3"/>
        </w:rPr>
        <w:t> </w:t>
      </w:r>
      <w:r>
        <w:rPr/>
        <w:t>alternative</w:t>
      </w:r>
      <w:r>
        <w:rPr>
          <w:spacing w:val="-4"/>
        </w:rPr>
        <w:t> </w:t>
      </w:r>
      <w:r>
        <w:rPr/>
        <w:t>non-public housing rent (alternative rent), non-public housing over-income family (NPHOI family), over- income family (OI family) and over-income limit (OI limit) defined above. PHAs should reference the definition of alternative rent for guidelines on how to set the rent for NPHOI </w:t>
      </w:r>
      <w:r>
        <w:rPr>
          <w:spacing w:val="-2"/>
        </w:rPr>
        <w:t>families.</w:t>
      </w:r>
    </w:p>
    <w:p>
      <w:pPr>
        <w:pStyle w:val="BodyText"/>
        <w:spacing w:before="8"/>
        <w:rPr>
          <w:sz w:val="31"/>
        </w:rPr>
      </w:pPr>
    </w:p>
    <w:p>
      <w:pPr>
        <w:pStyle w:val="BodyText"/>
        <w:spacing w:line="237" w:lineRule="auto"/>
        <w:ind w:left="120" w:right="1416"/>
      </w:pPr>
      <w:r>
        <w:rPr/>
        <w:t>In</w:t>
      </w:r>
      <w:r>
        <w:rPr>
          <w:spacing w:val="-3"/>
        </w:rPr>
        <w:t> </w:t>
      </w:r>
      <w:r>
        <w:rPr/>
        <w:t>24</w:t>
      </w:r>
      <w:r>
        <w:rPr>
          <w:spacing w:val="-3"/>
        </w:rPr>
        <w:t> </w:t>
      </w:r>
      <w:r>
        <w:rPr/>
        <w:t>CFR</w:t>
      </w:r>
      <w:r>
        <w:rPr>
          <w:spacing w:val="-3"/>
        </w:rPr>
        <w:t> </w:t>
      </w:r>
      <w:r>
        <w:rPr/>
        <w:t>960.601,</w:t>
      </w:r>
      <w:r>
        <w:rPr>
          <w:spacing w:val="-3"/>
        </w:rPr>
        <w:t> </w:t>
      </w:r>
      <w:r>
        <w:rPr/>
        <w:t>the</w:t>
      </w:r>
      <w:r>
        <w:rPr>
          <w:spacing w:val="-4"/>
        </w:rPr>
        <w:t> </w:t>
      </w:r>
      <w:r>
        <w:rPr/>
        <w:t>definition</w:t>
      </w:r>
      <w:r>
        <w:rPr>
          <w:spacing w:val="-3"/>
        </w:rPr>
        <w:t> </w:t>
      </w:r>
      <w:r>
        <w:rPr/>
        <w:t>of</w:t>
      </w:r>
      <w:r>
        <w:rPr>
          <w:spacing w:val="-4"/>
        </w:rPr>
        <w:t> </w:t>
      </w:r>
      <w:r>
        <w:rPr>
          <w:i/>
        </w:rPr>
        <w:t>exempt</w:t>
      </w:r>
      <w:r>
        <w:rPr>
          <w:i/>
          <w:spacing w:val="-3"/>
        </w:rPr>
        <w:t> </w:t>
      </w:r>
      <w:r>
        <w:rPr>
          <w:i/>
        </w:rPr>
        <w:t>individual</w:t>
      </w:r>
      <w:r>
        <w:rPr>
          <w:i/>
          <w:spacing w:val="-3"/>
        </w:rPr>
        <w:t> </w:t>
      </w:r>
      <w:r>
        <w:rPr/>
        <w:t>was</w:t>
      </w:r>
      <w:r>
        <w:rPr>
          <w:spacing w:val="-3"/>
        </w:rPr>
        <w:t> </w:t>
      </w:r>
      <w:r>
        <w:rPr/>
        <w:t>updated</w:t>
      </w:r>
      <w:r>
        <w:rPr>
          <w:spacing w:val="-3"/>
        </w:rPr>
        <w:t> </w:t>
      </w:r>
      <w:r>
        <w:rPr/>
        <w:t>to</w:t>
      </w:r>
      <w:r>
        <w:rPr>
          <w:spacing w:val="-3"/>
        </w:rPr>
        <w:t> </w:t>
      </w:r>
      <w:r>
        <w:rPr/>
        <w:t>clarify</w:t>
      </w:r>
      <w:r>
        <w:rPr>
          <w:spacing w:val="-3"/>
        </w:rPr>
        <w:t> </w:t>
      </w:r>
      <w:r>
        <w:rPr/>
        <w:t>that</w:t>
      </w:r>
      <w:r>
        <w:rPr>
          <w:spacing w:val="-3"/>
        </w:rPr>
        <w:t> </w:t>
      </w:r>
      <w:r>
        <w:rPr/>
        <w:t>members</w:t>
      </w:r>
      <w:r>
        <w:rPr>
          <w:spacing w:val="-3"/>
        </w:rPr>
        <w:t> </w:t>
      </w:r>
      <w:r>
        <w:rPr/>
        <w:t>of an NPHOI family do not have to comply with the Community Service Activities or Self- Sufficiency Work Activities requirements (CSSR).</w:t>
      </w:r>
    </w:p>
    <w:p>
      <w:pPr>
        <w:pStyle w:val="BodyText"/>
        <w:spacing w:before="4"/>
      </w:pPr>
    </w:p>
    <w:p>
      <w:pPr>
        <w:pStyle w:val="BodyText"/>
        <w:ind w:left="120"/>
      </w:pPr>
      <w:r>
        <w:rPr>
          <w:i/>
        </w:rPr>
        <w:t>24</w:t>
      </w:r>
      <w:r>
        <w:rPr>
          <w:i/>
          <w:spacing w:val="-2"/>
        </w:rPr>
        <w:t> </w:t>
      </w:r>
      <w:r>
        <w:rPr>
          <w:i/>
        </w:rPr>
        <w:t>CFR</w:t>
      </w:r>
      <w:r>
        <w:rPr>
          <w:i/>
          <w:spacing w:val="-3"/>
        </w:rPr>
        <w:t> </w:t>
      </w:r>
      <w:r>
        <w:rPr>
          <w:i/>
        </w:rPr>
        <w:t>960.206</w:t>
      </w:r>
      <w:r>
        <w:rPr>
          <w:i/>
          <w:spacing w:val="-2"/>
        </w:rPr>
        <w:t> </w:t>
      </w:r>
      <w:r>
        <w:rPr/>
        <w:t>-</w:t>
      </w:r>
      <w:r>
        <w:rPr>
          <w:spacing w:val="-2"/>
        </w:rPr>
        <w:t> </w:t>
      </w:r>
      <w:r>
        <w:rPr/>
        <w:t>Waiting</w:t>
      </w:r>
      <w:r>
        <w:rPr>
          <w:spacing w:val="-2"/>
        </w:rPr>
        <w:t> </w:t>
      </w:r>
      <w:r>
        <w:rPr/>
        <w:t>list:</w:t>
      </w:r>
      <w:r>
        <w:rPr>
          <w:spacing w:val="-2"/>
        </w:rPr>
        <w:t> </w:t>
      </w:r>
      <w:r>
        <w:rPr/>
        <w:t>Local</w:t>
      </w:r>
      <w:r>
        <w:rPr>
          <w:spacing w:val="-1"/>
        </w:rPr>
        <w:t> </w:t>
      </w:r>
      <w:r>
        <w:rPr/>
        <w:t>preferences</w:t>
      </w:r>
      <w:r>
        <w:rPr>
          <w:spacing w:val="-2"/>
        </w:rPr>
        <w:t> </w:t>
      </w:r>
      <w:r>
        <w:rPr/>
        <w:t>in</w:t>
      </w:r>
      <w:r>
        <w:rPr>
          <w:spacing w:val="-2"/>
        </w:rPr>
        <w:t> </w:t>
      </w:r>
      <w:r>
        <w:rPr/>
        <w:t>admission</w:t>
      </w:r>
      <w:r>
        <w:rPr>
          <w:spacing w:val="-2"/>
        </w:rPr>
        <w:t> </w:t>
      </w:r>
      <w:r>
        <w:rPr/>
        <w:t>to</w:t>
      </w:r>
      <w:r>
        <w:rPr>
          <w:spacing w:val="-1"/>
        </w:rPr>
        <w:t> </w:t>
      </w:r>
      <w:r>
        <w:rPr/>
        <w:t>public</w:t>
      </w:r>
      <w:r>
        <w:rPr>
          <w:spacing w:val="-3"/>
        </w:rPr>
        <w:t> </w:t>
      </w:r>
      <w:r>
        <w:rPr/>
        <w:t>housing</w:t>
      </w:r>
      <w:r>
        <w:rPr>
          <w:spacing w:val="-2"/>
        </w:rPr>
        <w:t> program</w:t>
      </w:r>
    </w:p>
    <w:p>
      <w:pPr>
        <w:pStyle w:val="BodyText"/>
        <w:spacing w:line="237" w:lineRule="auto" w:before="43"/>
        <w:ind w:left="120" w:right="1268"/>
      </w:pPr>
      <w:r>
        <w:rPr/>
        <w:t>This</w:t>
      </w:r>
      <w:r>
        <w:rPr>
          <w:spacing w:val="-3"/>
        </w:rPr>
        <w:t> </w:t>
      </w:r>
      <w:r>
        <w:rPr/>
        <w:t>change</w:t>
      </w:r>
      <w:r>
        <w:rPr>
          <w:spacing w:val="-5"/>
        </w:rPr>
        <w:t> </w:t>
      </w:r>
      <w:r>
        <w:rPr/>
        <w:t>creates</w:t>
      </w:r>
      <w:r>
        <w:rPr>
          <w:spacing w:val="-3"/>
        </w:rPr>
        <w:t> </w:t>
      </w:r>
      <w:r>
        <w:rPr/>
        <w:t>a</w:t>
      </w:r>
      <w:r>
        <w:rPr>
          <w:spacing w:val="-4"/>
        </w:rPr>
        <w:t> </w:t>
      </w:r>
      <w:r>
        <w:rPr/>
        <w:t>new</w:t>
      </w:r>
      <w:r>
        <w:rPr>
          <w:spacing w:val="-4"/>
        </w:rPr>
        <w:t> </w:t>
      </w:r>
      <w:r>
        <w:rPr/>
        <w:t>local</w:t>
      </w:r>
      <w:r>
        <w:rPr>
          <w:spacing w:val="-3"/>
        </w:rPr>
        <w:t> </w:t>
      </w:r>
      <w:r>
        <w:rPr/>
        <w:t>preference</w:t>
      </w:r>
      <w:r>
        <w:rPr>
          <w:spacing w:val="-4"/>
        </w:rPr>
        <w:t> </w:t>
      </w:r>
      <w:r>
        <w:rPr/>
        <w:t>option</w:t>
      </w:r>
      <w:r>
        <w:rPr>
          <w:spacing w:val="-1"/>
        </w:rPr>
        <w:t> </w:t>
      </w:r>
      <w:r>
        <w:rPr/>
        <w:t>for</w:t>
      </w:r>
      <w:r>
        <w:rPr>
          <w:spacing w:val="-4"/>
        </w:rPr>
        <w:t> </w:t>
      </w:r>
      <w:r>
        <w:rPr/>
        <w:t>PHA</w:t>
      </w:r>
      <w:r>
        <w:rPr>
          <w:spacing w:val="-4"/>
        </w:rPr>
        <w:t> </w:t>
      </w:r>
      <w:r>
        <w:rPr/>
        <w:t>admission.</w:t>
      </w:r>
      <w:r>
        <w:rPr>
          <w:spacing w:val="-3"/>
        </w:rPr>
        <w:t> </w:t>
      </w:r>
      <w:r>
        <w:rPr/>
        <w:t>The</w:t>
      </w:r>
      <w:r>
        <w:rPr>
          <w:spacing w:val="-2"/>
        </w:rPr>
        <w:t> </w:t>
      </w:r>
      <w:r>
        <w:rPr/>
        <w:t>PHA</w:t>
      </w:r>
      <w:r>
        <w:rPr>
          <w:spacing w:val="-4"/>
        </w:rPr>
        <w:t> </w:t>
      </w:r>
      <w:r>
        <w:rPr/>
        <w:t>may</w:t>
      </w:r>
      <w:r>
        <w:rPr>
          <w:spacing w:val="-3"/>
        </w:rPr>
        <w:t> </w:t>
      </w:r>
      <w:r>
        <w:rPr/>
        <w:t>choose</w:t>
      </w:r>
      <w:r>
        <w:rPr>
          <w:spacing w:val="-4"/>
        </w:rPr>
        <w:t> </w:t>
      </w:r>
      <w:r>
        <w:rPr/>
        <w:t>to adopt this preference for NPHOI families who become a low-income family as defined in 24 CFR 5.603(b) and are eligible for re-admission to the public housing program. A PHA whose</w:t>
      </w:r>
    </w:p>
    <w:p>
      <w:pPr>
        <w:spacing w:after="0" w:line="237" w:lineRule="auto"/>
        <w:sectPr>
          <w:pgSz w:w="12240" w:h="15840"/>
          <w:pgMar w:header="0" w:footer="1033" w:top="1360" w:bottom="1220" w:left="1320" w:right="240"/>
        </w:sectPr>
      </w:pPr>
    </w:p>
    <w:p>
      <w:pPr>
        <w:pStyle w:val="BodyText"/>
        <w:spacing w:line="237" w:lineRule="auto" w:before="76"/>
        <w:ind w:left="120" w:right="1477"/>
        <w:jc w:val="both"/>
      </w:pPr>
      <w:r>
        <w:rPr/>
        <w:t>policy</w:t>
      </w:r>
      <w:r>
        <w:rPr>
          <w:spacing w:val="-2"/>
        </w:rPr>
        <w:t> </w:t>
      </w:r>
      <w:r>
        <w:rPr/>
        <w:t>is</w:t>
      </w:r>
      <w:r>
        <w:rPr>
          <w:spacing w:val="-2"/>
        </w:rPr>
        <w:t> </w:t>
      </w:r>
      <w:r>
        <w:rPr/>
        <w:t>to</w:t>
      </w:r>
      <w:r>
        <w:rPr>
          <w:spacing w:val="-2"/>
        </w:rPr>
        <w:t> </w:t>
      </w:r>
      <w:r>
        <w:rPr/>
        <w:t>terminate</w:t>
      </w:r>
      <w:r>
        <w:rPr>
          <w:spacing w:val="-2"/>
        </w:rPr>
        <w:t> </w:t>
      </w:r>
      <w:r>
        <w:rPr/>
        <w:t>OI</w:t>
      </w:r>
      <w:r>
        <w:rPr>
          <w:spacing w:val="-4"/>
        </w:rPr>
        <w:t> </w:t>
      </w:r>
      <w:r>
        <w:rPr/>
        <w:t>families</w:t>
      </w:r>
      <w:r>
        <w:rPr>
          <w:spacing w:val="-2"/>
        </w:rPr>
        <w:t> </w:t>
      </w:r>
      <w:r>
        <w:rPr/>
        <w:t>after</w:t>
      </w:r>
      <w:r>
        <w:rPr>
          <w:spacing w:val="-3"/>
        </w:rPr>
        <w:t> </w:t>
      </w:r>
      <w:r>
        <w:rPr/>
        <w:t>the</w:t>
      </w:r>
      <w:r>
        <w:rPr>
          <w:spacing w:val="-1"/>
        </w:rPr>
        <w:t> </w:t>
      </w:r>
      <w:r>
        <w:rPr/>
        <w:t>24</w:t>
      </w:r>
      <w:r>
        <w:rPr>
          <w:spacing w:val="-2"/>
        </w:rPr>
        <w:t> </w:t>
      </w:r>
      <w:r>
        <w:rPr/>
        <w:t>consecutive</w:t>
      </w:r>
      <w:r>
        <w:rPr>
          <w:spacing w:val="-4"/>
        </w:rPr>
        <w:t> </w:t>
      </w:r>
      <w:r>
        <w:rPr/>
        <w:t>month</w:t>
      </w:r>
      <w:r>
        <w:rPr>
          <w:spacing w:val="-2"/>
        </w:rPr>
        <w:t> </w:t>
      </w:r>
      <w:r>
        <w:rPr/>
        <w:t>grace</w:t>
      </w:r>
      <w:r>
        <w:rPr>
          <w:spacing w:val="-4"/>
        </w:rPr>
        <w:t> </w:t>
      </w:r>
      <w:r>
        <w:rPr/>
        <w:t>period</w:t>
      </w:r>
      <w:r>
        <w:rPr>
          <w:spacing w:val="-2"/>
        </w:rPr>
        <w:t> </w:t>
      </w:r>
      <w:r>
        <w:rPr/>
        <w:t>may</w:t>
      </w:r>
      <w:r>
        <w:rPr>
          <w:spacing w:val="-2"/>
        </w:rPr>
        <w:t> </w:t>
      </w:r>
      <w:r>
        <w:rPr/>
        <w:t>not</w:t>
      </w:r>
      <w:r>
        <w:rPr>
          <w:spacing w:val="-2"/>
        </w:rPr>
        <w:t> </w:t>
      </w:r>
      <w:r>
        <w:rPr/>
        <w:t>use</w:t>
      </w:r>
      <w:r>
        <w:rPr>
          <w:spacing w:val="-3"/>
        </w:rPr>
        <w:t> </w:t>
      </w:r>
      <w:r>
        <w:rPr/>
        <w:t>this preference</w:t>
      </w:r>
      <w:r>
        <w:rPr>
          <w:spacing w:val="-4"/>
        </w:rPr>
        <w:t> </w:t>
      </w:r>
      <w:r>
        <w:rPr/>
        <w:t>because</w:t>
      </w:r>
      <w:r>
        <w:rPr>
          <w:spacing w:val="-4"/>
        </w:rPr>
        <w:t> </w:t>
      </w:r>
      <w:r>
        <w:rPr/>
        <w:t>this</w:t>
      </w:r>
      <w:r>
        <w:rPr>
          <w:spacing w:val="-3"/>
        </w:rPr>
        <w:t> </w:t>
      </w:r>
      <w:r>
        <w:rPr/>
        <w:t>preference</w:t>
      </w:r>
      <w:r>
        <w:rPr>
          <w:spacing w:val="-4"/>
        </w:rPr>
        <w:t> </w:t>
      </w:r>
      <w:r>
        <w:rPr/>
        <w:t>may</w:t>
      </w:r>
      <w:r>
        <w:rPr>
          <w:spacing w:val="-3"/>
        </w:rPr>
        <w:t> </w:t>
      </w:r>
      <w:r>
        <w:rPr/>
        <w:t>not</w:t>
      </w:r>
      <w:r>
        <w:rPr>
          <w:spacing w:val="-3"/>
        </w:rPr>
        <w:t> </w:t>
      </w:r>
      <w:r>
        <w:rPr/>
        <w:t>be</w:t>
      </w:r>
      <w:r>
        <w:rPr>
          <w:spacing w:val="-2"/>
        </w:rPr>
        <w:t> </w:t>
      </w:r>
      <w:r>
        <w:rPr/>
        <w:t>applied</w:t>
      </w:r>
      <w:r>
        <w:rPr>
          <w:spacing w:val="-3"/>
        </w:rPr>
        <w:t> </w:t>
      </w:r>
      <w:r>
        <w:rPr/>
        <w:t>to</w:t>
      </w:r>
      <w:r>
        <w:rPr>
          <w:spacing w:val="-3"/>
        </w:rPr>
        <w:t> </w:t>
      </w:r>
      <w:r>
        <w:rPr/>
        <w:t>current</w:t>
      </w:r>
      <w:r>
        <w:rPr>
          <w:spacing w:val="-3"/>
        </w:rPr>
        <w:t> </w:t>
      </w:r>
      <w:r>
        <w:rPr/>
        <w:t>public</w:t>
      </w:r>
      <w:r>
        <w:rPr>
          <w:spacing w:val="-4"/>
        </w:rPr>
        <w:t> </w:t>
      </w:r>
      <w:r>
        <w:rPr/>
        <w:t>housing</w:t>
      </w:r>
      <w:r>
        <w:rPr>
          <w:spacing w:val="-3"/>
        </w:rPr>
        <w:t> </w:t>
      </w:r>
      <w:r>
        <w:rPr/>
        <w:t>families</w:t>
      </w:r>
      <w:r>
        <w:rPr>
          <w:spacing w:val="-3"/>
        </w:rPr>
        <w:t> </w:t>
      </w:r>
      <w:r>
        <w:rPr/>
        <w:t>or</w:t>
      </w:r>
      <w:r>
        <w:rPr>
          <w:spacing w:val="-4"/>
        </w:rPr>
        <w:t> </w:t>
      </w:r>
      <w:r>
        <w:rPr/>
        <w:t>OI families who have vacated the public housing project.</w:t>
      </w:r>
    </w:p>
    <w:p>
      <w:pPr>
        <w:pStyle w:val="BodyText"/>
        <w:spacing w:before="1"/>
      </w:pPr>
    </w:p>
    <w:p>
      <w:pPr>
        <w:spacing w:before="1"/>
        <w:ind w:left="120" w:right="0" w:firstLine="0"/>
        <w:jc w:val="left"/>
        <w:rPr>
          <w:sz w:val="24"/>
        </w:rPr>
      </w:pPr>
      <w:r>
        <w:rPr>
          <w:i/>
          <w:sz w:val="24"/>
        </w:rPr>
        <w:t>24</w:t>
      </w:r>
      <w:r>
        <w:rPr>
          <w:i/>
          <w:spacing w:val="-3"/>
          <w:sz w:val="24"/>
        </w:rPr>
        <w:t> </w:t>
      </w:r>
      <w:r>
        <w:rPr>
          <w:i/>
          <w:sz w:val="24"/>
        </w:rPr>
        <w:t>CFR</w:t>
      </w:r>
      <w:r>
        <w:rPr>
          <w:i/>
          <w:spacing w:val="-1"/>
          <w:sz w:val="24"/>
        </w:rPr>
        <w:t> </w:t>
      </w:r>
      <w:r>
        <w:rPr>
          <w:i/>
          <w:sz w:val="24"/>
        </w:rPr>
        <w:t>960.253</w:t>
      </w:r>
      <w:r>
        <w:rPr>
          <w:i/>
          <w:spacing w:val="-1"/>
          <w:sz w:val="24"/>
        </w:rPr>
        <w:t> </w:t>
      </w:r>
      <w:r>
        <w:rPr>
          <w:sz w:val="24"/>
        </w:rPr>
        <w:t>-</w:t>
      </w:r>
      <w:r>
        <w:rPr>
          <w:spacing w:val="-1"/>
          <w:sz w:val="24"/>
        </w:rPr>
        <w:t> </w:t>
      </w:r>
      <w:r>
        <w:rPr>
          <w:sz w:val="24"/>
        </w:rPr>
        <w:t>Choice</w:t>
      </w:r>
      <w:r>
        <w:rPr>
          <w:spacing w:val="-2"/>
          <w:sz w:val="24"/>
        </w:rPr>
        <w:t> </w:t>
      </w:r>
      <w:r>
        <w:rPr>
          <w:sz w:val="24"/>
        </w:rPr>
        <w:t>of</w:t>
      </w:r>
      <w:r>
        <w:rPr>
          <w:spacing w:val="-1"/>
          <w:sz w:val="24"/>
        </w:rPr>
        <w:t> </w:t>
      </w:r>
      <w:r>
        <w:rPr>
          <w:sz w:val="24"/>
        </w:rPr>
        <w:t>Rent-</w:t>
      </w:r>
      <w:r>
        <w:rPr>
          <w:spacing w:val="-2"/>
          <w:sz w:val="24"/>
        </w:rPr>
        <w:t> </w:t>
      </w:r>
      <w:r>
        <w:rPr>
          <w:sz w:val="24"/>
        </w:rPr>
        <w:t>Rent </w:t>
      </w:r>
      <w:r>
        <w:rPr>
          <w:spacing w:val="-2"/>
          <w:sz w:val="24"/>
        </w:rPr>
        <w:t>Options</w:t>
      </w:r>
    </w:p>
    <w:p>
      <w:pPr>
        <w:pStyle w:val="BodyText"/>
        <w:spacing w:line="237" w:lineRule="auto" w:before="43"/>
        <w:ind w:left="120" w:right="1416"/>
      </w:pPr>
      <w:r>
        <w:rPr/>
        <w:t>Conforming changes have been made to paragraphs (a) and (f) of this section to clarify the choice of rent in relation to NPHOI families and the new requirements found at 960.507. Families</w:t>
      </w:r>
      <w:r>
        <w:rPr>
          <w:spacing w:val="-3"/>
        </w:rPr>
        <w:t> </w:t>
      </w:r>
      <w:r>
        <w:rPr/>
        <w:t>subject</w:t>
      </w:r>
      <w:r>
        <w:rPr>
          <w:spacing w:val="-3"/>
        </w:rPr>
        <w:t> </w:t>
      </w:r>
      <w:r>
        <w:rPr/>
        <w:t>to</w:t>
      </w:r>
      <w:r>
        <w:rPr>
          <w:spacing w:val="-3"/>
        </w:rPr>
        <w:t> </w:t>
      </w:r>
      <w:r>
        <w:rPr/>
        <w:t>960.507</w:t>
      </w:r>
      <w:r>
        <w:rPr>
          <w:spacing w:val="-3"/>
        </w:rPr>
        <w:t> </w:t>
      </w:r>
      <w:r>
        <w:rPr/>
        <w:t>must</w:t>
      </w:r>
      <w:r>
        <w:rPr>
          <w:spacing w:val="-3"/>
        </w:rPr>
        <w:t> </w:t>
      </w:r>
      <w:r>
        <w:rPr/>
        <w:t>pay</w:t>
      </w:r>
      <w:r>
        <w:rPr>
          <w:spacing w:val="-3"/>
        </w:rPr>
        <w:t> </w:t>
      </w:r>
      <w:r>
        <w:rPr/>
        <w:t>the</w:t>
      </w:r>
      <w:r>
        <w:rPr>
          <w:spacing w:val="-5"/>
        </w:rPr>
        <w:t> </w:t>
      </w:r>
      <w:r>
        <w:rPr/>
        <w:t>alternative</w:t>
      </w:r>
      <w:r>
        <w:rPr>
          <w:spacing w:val="-4"/>
        </w:rPr>
        <w:t> </w:t>
      </w:r>
      <w:r>
        <w:rPr/>
        <w:t>rent,</w:t>
      </w:r>
      <w:r>
        <w:rPr>
          <w:spacing w:val="-3"/>
        </w:rPr>
        <w:t> </w:t>
      </w:r>
      <w:r>
        <w:rPr/>
        <w:t>as</w:t>
      </w:r>
      <w:r>
        <w:rPr>
          <w:spacing w:val="-3"/>
        </w:rPr>
        <w:t> </w:t>
      </w:r>
      <w:r>
        <w:rPr/>
        <w:t>stated</w:t>
      </w:r>
      <w:r>
        <w:rPr>
          <w:spacing w:val="-3"/>
        </w:rPr>
        <w:t> </w:t>
      </w:r>
      <w:r>
        <w:rPr/>
        <w:t>in</w:t>
      </w:r>
      <w:r>
        <w:rPr>
          <w:spacing w:val="-3"/>
        </w:rPr>
        <w:t> </w:t>
      </w:r>
      <w:r>
        <w:rPr/>
        <w:t>960.253(a),</w:t>
      </w:r>
      <w:r>
        <w:rPr>
          <w:spacing w:val="-3"/>
        </w:rPr>
        <w:t> </w:t>
      </w:r>
      <w:r>
        <w:rPr/>
        <w:t>when</w:t>
      </w:r>
      <w:r>
        <w:rPr>
          <w:spacing w:val="-3"/>
        </w:rPr>
        <w:t> </w:t>
      </w:r>
      <w:r>
        <w:rPr/>
        <w:t>they've exceeded the grace period and allowed by PHA policy the option of remaining in a public housing unit. During the 24 consecutive month grace period, and in the 6 months before termination, the family will continue to pay their current rent choice amount (i.e., the family’s choice of income-based or flat rent, or the prorated rent for mixed families).</w:t>
      </w:r>
    </w:p>
    <w:p>
      <w:pPr>
        <w:pStyle w:val="BodyText"/>
        <w:spacing w:before="8"/>
        <w:rPr>
          <w:sz w:val="31"/>
        </w:rPr>
      </w:pPr>
    </w:p>
    <w:p>
      <w:pPr>
        <w:pStyle w:val="BodyText"/>
        <w:spacing w:line="237" w:lineRule="auto"/>
        <w:ind w:left="120" w:right="1204"/>
      </w:pPr>
      <w:r>
        <w:rPr/>
        <w:t>A conforming change has been made to paragraph (f) to clarify the exemption to the current practice of conducting a reexamination of family income every three years for a family that chooses the flat rent option. The PHA must no longer apply the three-year reexamination provision to families once the PHA determines that the family is over-income. Once a PHA determines</w:t>
      </w:r>
      <w:r>
        <w:rPr>
          <w:spacing w:val="-3"/>
        </w:rPr>
        <w:t> </w:t>
      </w:r>
      <w:r>
        <w:rPr/>
        <w:t>the</w:t>
      </w:r>
      <w:r>
        <w:rPr>
          <w:spacing w:val="-5"/>
        </w:rPr>
        <w:t> </w:t>
      </w:r>
      <w:r>
        <w:rPr/>
        <w:t>family</w:t>
      </w:r>
      <w:r>
        <w:rPr>
          <w:spacing w:val="-3"/>
        </w:rPr>
        <w:t> </w:t>
      </w:r>
      <w:r>
        <w:rPr/>
        <w:t>is</w:t>
      </w:r>
      <w:r>
        <w:rPr>
          <w:spacing w:val="-3"/>
        </w:rPr>
        <w:t> </w:t>
      </w:r>
      <w:r>
        <w:rPr/>
        <w:t>over-income,</w:t>
      </w:r>
      <w:r>
        <w:rPr>
          <w:spacing w:val="-3"/>
        </w:rPr>
        <w:t> </w:t>
      </w:r>
      <w:r>
        <w:rPr/>
        <w:t>the</w:t>
      </w:r>
      <w:r>
        <w:rPr>
          <w:spacing w:val="-4"/>
        </w:rPr>
        <w:t> </w:t>
      </w:r>
      <w:r>
        <w:rPr/>
        <w:t>PHA</w:t>
      </w:r>
      <w:r>
        <w:rPr>
          <w:spacing w:val="-4"/>
        </w:rPr>
        <w:t> </w:t>
      </w:r>
      <w:r>
        <w:rPr/>
        <w:t>must</w:t>
      </w:r>
      <w:r>
        <w:rPr>
          <w:spacing w:val="-3"/>
        </w:rPr>
        <w:t> </w:t>
      </w:r>
      <w:r>
        <w:rPr/>
        <w:t>follow</w:t>
      </w:r>
      <w:r>
        <w:rPr>
          <w:spacing w:val="-4"/>
        </w:rPr>
        <w:t> </w:t>
      </w:r>
      <w:r>
        <w:rPr/>
        <w:t>the</w:t>
      </w:r>
      <w:r>
        <w:rPr>
          <w:spacing w:val="-4"/>
        </w:rPr>
        <w:t> </w:t>
      </w:r>
      <w:r>
        <w:rPr/>
        <w:t>documentation</w:t>
      </w:r>
      <w:r>
        <w:rPr>
          <w:spacing w:val="-3"/>
        </w:rPr>
        <w:t> </w:t>
      </w:r>
      <w:r>
        <w:rPr/>
        <w:t>and</w:t>
      </w:r>
      <w:r>
        <w:rPr>
          <w:spacing w:val="-3"/>
        </w:rPr>
        <w:t> </w:t>
      </w:r>
      <w:r>
        <w:rPr/>
        <w:t>notification requirements under 960.507(c).</w:t>
      </w:r>
    </w:p>
    <w:p>
      <w:pPr>
        <w:pStyle w:val="BodyText"/>
        <w:spacing w:before="11"/>
        <w:rPr>
          <w:sz w:val="31"/>
        </w:rPr>
      </w:pPr>
    </w:p>
    <w:p>
      <w:pPr>
        <w:pStyle w:val="BodyText"/>
        <w:spacing w:line="237" w:lineRule="auto"/>
        <w:ind w:left="120" w:right="1416"/>
      </w:pPr>
      <w:r>
        <w:rPr/>
        <w:t>PHAs have no discretion when it comes to the rent for NPHOI families. Once the grace period ends,</w:t>
      </w:r>
      <w:r>
        <w:rPr>
          <w:spacing w:val="-2"/>
        </w:rPr>
        <w:t> </w:t>
      </w:r>
      <w:r>
        <w:rPr/>
        <w:t>and</w:t>
      </w:r>
      <w:r>
        <w:rPr>
          <w:spacing w:val="-2"/>
        </w:rPr>
        <w:t> </w:t>
      </w:r>
      <w:r>
        <w:rPr/>
        <w:t>if</w:t>
      </w:r>
      <w:r>
        <w:rPr>
          <w:spacing w:val="-3"/>
        </w:rPr>
        <w:t> </w:t>
      </w:r>
      <w:r>
        <w:rPr/>
        <w:t>the</w:t>
      </w:r>
      <w:r>
        <w:rPr>
          <w:spacing w:val="-4"/>
        </w:rPr>
        <w:t> </w:t>
      </w:r>
      <w:r>
        <w:rPr/>
        <w:t>family</w:t>
      </w:r>
      <w:r>
        <w:rPr>
          <w:spacing w:val="-2"/>
        </w:rPr>
        <w:t> </w:t>
      </w:r>
      <w:r>
        <w:rPr/>
        <w:t>is</w:t>
      </w:r>
      <w:r>
        <w:rPr>
          <w:spacing w:val="-2"/>
        </w:rPr>
        <w:t> </w:t>
      </w:r>
      <w:r>
        <w:rPr/>
        <w:t>given</w:t>
      </w:r>
      <w:r>
        <w:rPr>
          <w:spacing w:val="-2"/>
        </w:rPr>
        <w:t> </w:t>
      </w:r>
      <w:r>
        <w:rPr/>
        <w:t>the</w:t>
      </w:r>
      <w:r>
        <w:rPr>
          <w:spacing w:val="-3"/>
        </w:rPr>
        <w:t> </w:t>
      </w:r>
      <w:r>
        <w:rPr/>
        <w:t>option</w:t>
      </w:r>
      <w:r>
        <w:rPr>
          <w:spacing w:val="-2"/>
        </w:rPr>
        <w:t> </w:t>
      </w:r>
      <w:r>
        <w:rPr/>
        <w:t>to</w:t>
      </w:r>
      <w:r>
        <w:rPr>
          <w:spacing w:val="-2"/>
        </w:rPr>
        <w:t> </w:t>
      </w:r>
      <w:r>
        <w:rPr/>
        <w:t>remain</w:t>
      </w:r>
      <w:r>
        <w:rPr>
          <w:spacing w:val="-2"/>
        </w:rPr>
        <w:t> </w:t>
      </w:r>
      <w:r>
        <w:rPr/>
        <w:t>in</w:t>
      </w:r>
      <w:r>
        <w:rPr>
          <w:spacing w:val="-2"/>
        </w:rPr>
        <w:t> </w:t>
      </w:r>
      <w:r>
        <w:rPr/>
        <w:t>a</w:t>
      </w:r>
      <w:r>
        <w:rPr>
          <w:spacing w:val="-3"/>
        </w:rPr>
        <w:t> </w:t>
      </w:r>
      <w:r>
        <w:rPr/>
        <w:t>public</w:t>
      </w:r>
      <w:r>
        <w:rPr>
          <w:spacing w:val="-3"/>
        </w:rPr>
        <w:t> </w:t>
      </w:r>
      <w:r>
        <w:rPr/>
        <w:t>housing</w:t>
      </w:r>
      <w:r>
        <w:rPr>
          <w:spacing w:val="-2"/>
        </w:rPr>
        <w:t> </w:t>
      </w:r>
      <w:r>
        <w:rPr/>
        <w:t>unit</w:t>
      </w:r>
      <w:r>
        <w:rPr>
          <w:spacing w:val="-5"/>
        </w:rPr>
        <w:t> </w:t>
      </w:r>
      <w:r>
        <w:rPr/>
        <w:t>and</w:t>
      </w:r>
      <w:r>
        <w:rPr>
          <w:spacing w:val="-2"/>
        </w:rPr>
        <w:t> </w:t>
      </w:r>
      <w:r>
        <w:rPr/>
        <w:t>they</w:t>
      </w:r>
      <w:r>
        <w:rPr>
          <w:spacing w:val="-2"/>
        </w:rPr>
        <w:t> </w:t>
      </w:r>
      <w:r>
        <w:rPr/>
        <w:t>choose</w:t>
      </w:r>
      <w:r>
        <w:rPr>
          <w:spacing w:val="-3"/>
        </w:rPr>
        <w:t> </w:t>
      </w:r>
      <w:r>
        <w:rPr/>
        <w:t>to remain,</w:t>
      </w:r>
      <w:r>
        <w:rPr>
          <w:spacing w:val="-1"/>
        </w:rPr>
        <w:t> </w:t>
      </w:r>
      <w:r>
        <w:rPr/>
        <w:t>then</w:t>
      </w:r>
      <w:r>
        <w:rPr>
          <w:spacing w:val="-1"/>
        </w:rPr>
        <w:t> </w:t>
      </w:r>
      <w:r>
        <w:rPr/>
        <w:t>the</w:t>
      </w:r>
      <w:r>
        <w:rPr>
          <w:spacing w:val="-2"/>
        </w:rPr>
        <w:t> </w:t>
      </w:r>
      <w:r>
        <w:rPr/>
        <w:t>family</w:t>
      </w:r>
      <w:r>
        <w:rPr>
          <w:spacing w:val="-1"/>
        </w:rPr>
        <w:t> </w:t>
      </w:r>
      <w:r>
        <w:rPr/>
        <w:t>is</w:t>
      </w:r>
      <w:r>
        <w:rPr>
          <w:spacing w:val="-1"/>
        </w:rPr>
        <w:t> </w:t>
      </w:r>
      <w:r>
        <w:rPr/>
        <w:t>required</w:t>
      </w:r>
      <w:r>
        <w:rPr>
          <w:spacing w:val="-1"/>
        </w:rPr>
        <w:t> </w:t>
      </w:r>
      <w:r>
        <w:rPr/>
        <w:t>to</w:t>
      </w:r>
      <w:r>
        <w:rPr>
          <w:spacing w:val="-1"/>
        </w:rPr>
        <w:t> </w:t>
      </w:r>
      <w:r>
        <w:rPr/>
        <w:t>pay</w:t>
      </w:r>
      <w:r>
        <w:rPr>
          <w:spacing w:val="-1"/>
        </w:rPr>
        <w:t> </w:t>
      </w:r>
      <w:r>
        <w:rPr/>
        <w:t>the alternative</w:t>
      </w:r>
      <w:r>
        <w:rPr>
          <w:spacing w:val="-3"/>
        </w:rPr>
        <w:t> </w:t>
      </w:r>
      <w:r>
        <w:rPr/>
        <w:t>rent</w:t>
      </w:r>
      <w:r>
        <w:rPr>
          <w:spacing w:val="-1"/>
        </w:rPr>
        <w:t> </w:t>
      </w:r>
      <w:r>
        <w:rPr/>
        <w:t>as</w:t>
      </w:r>
      <w:r>
        <w:rPr>
          <w:spacing w:val="-1"/>
        </w:rPr>
        <w:t> </w:t>
      </w:r>
      <w:r>
        <w:rPr/>
        <w:t>determined in</w:t>
      </w:r>
      <w:r>
        <w:rPr>
          <w:spacing w:val="-1"/>
        </w:rPr>
        <w:t> </w:t>
      </w:r>
      <w:r>
        <w:rPr/>
        <w:t>accordance with 24 CFR 960.102. NPHOI families must not be given the choice of flat rent, income-based or </w:t>
      </w:r>
      <w:r>
        <w:rPr>
          <w:spacing w:val="-2"/>
        </w:rPr>
        <w:t>prorated-rent.</w:t>
      </w:r>
    </w:p>
    <w:p>
      <w:pPr>
        <w:pStyle w:val="BodyText"/>
        <w:spacing w:before="2"/>
      </w:pPr>
    </w:p>
    <w:p>
      <w:pPr>
        <w:pStyle w:val="BodyText"/>
        <w:ind w:left="120" w:right="1869"/>
      </w:pPr>
      <w:r>
        <w:rPr>
          <w:i/>
        </w:rPr>
        <w:t>24 CFR 960.257 </w:t>
      </w:r>
      <w:r>
        <w:rPr/>
        <w:t>- Family income and composition: Annual and interim reexaminations The</w:t>
      </w:r>
      <w:r>
        <w:rPr>
          <w:spacing w:val="-5"/>
        </w:rPr>
        <w:t> </w:t>
      </w:r>
      <w:r>
        <w:rPr/>
        <w:t>final</w:t>
      </w:r>
      <w:r>
        <w:rPr>
          <w:spacing w:val="-3"/>
        </w:rPr>
        <w:t> </w:t>
      </w:r>
      <w:r>
        <w:rPr/>
        <w:t>rule</w:t>
      </w:r>
      <w:r>
        <w:rPr>
          <w:spacing w:val="-2"/>
        </w:rPr>
        <w:t> </w:t>
      </w:r>
      <w:r>
        <w:rPr/>
        <w:t>clarifies</w:t>
      </w:r>
      <w:r>
        <w:rPr>
          <w:spacing w:val="-3"/>
        </w:rPr>
        <w:t> </w:t>
      </w:r>
      <w:r>
        <w:rPr/>
        <w:t>in</w:t>
      </w:r>
      <w:r>
        <w:rPr>
          <w:spacing w:val="-1"/>
        </w:rPr>
        <w:t> </w:t>
      </w:r>
      <w:r>
        <w:rPr/>
        <w:t>24</w:t>
      </w:r>
      <w:r>
        <w:rPr>
          <w:spacing w:val="-3"/>
        </w:rPr>
        <w:t> </w:t>
      </w:r>
      <w:r>
        <w:rPr/>
        <w:t>CFR</w:t>
      </w:r>
      <w:r>
        <w:rPr>
          <w:spacing w:val="-3"/>
        </w:rPr>
        <w:t> </w:t>
      </w:r>
      <w:r>
        <w:rPr/>
        <w:t>960.257(a)(5)</w:t>
      </w:r>
      <w:r>
        <w:rPr>
          <w:spacing w:val="-4"/>
        </w:rPr>
        <w:t> </w:t>
      </w:r>
      <w:r>
        <w:rPr/>
        <w:t>that</w:t>
      </w:r>
      <w:r>
        <w:rPr>
          <w:spacing w:val="-3"/>
        </w:rPr>
        <w:t> </w:t>
      </w:r>
      <w:r>
        <w:rPr/>
        <w:t>NPHOI</w:t>
      </w:r>
      <w:r>
        <w:rPr>
          <w:spacing w:val="-7"/>
        </w:rPr>
        <w:t> </w:t>
      </w:r>
      <w:r>
        <w:rPr/>
        <w:t>families</w:t>
      </w:r>
      <w:r>
        <w:rPr>
          <w:spacing w:val="-3"/>
        </w:rPr>
        <w:t> </w:t>
      </w:r>
      <w:r>
        <w:rPr/>
        <w:t>cannot</w:t>
      </w:r>
      <w:r>
        <w:rPr>
          <w:spacing w:val="-3"/>
        </w:rPr>
        <w:t> </w:t>
      </w:r>
      <w:r>
        <w:rPr/>
        <w:t>be</w:t>
      </w:r>
      <w:r>
        <w:rPr>
          <w:spacing w:val="-5"/>
        </w:rPr>
        <w:t> </w:t>
      </w:r>
      <w:r>
        <w:rPr/>
        <w:t>subject</w:t>
      </w:r>
      <w:r>
        <w:rPr>
          <w:spacing w:val="-3"/>
        </w:rPr>
        <w:t> </w:t>
      </w:r>
      <w:r>
        <w:rPr/>
        <w:t>to</w:t>
      </w:r>
    </w:p>
    <w:p>
      <w:pPr>
        <w:pStyle w:val="BodyText"/>
        <w:ind w:left="120" w:right="1204"/>
      </w:pPr>
      <w:r>
        <w:rPr/>
        <w:t>income</w:t>
      </w:r>
      <w:r>
        <w:rPr>
          <w:spacing w:val="-5"/>
        </w:rPr>
        <w:t> </w:t>
      </w:r>
      <w:r>
        <w:rPr/>
        <w:t>reexaminations.</w:t>
      </w:r>
      <w:r>
        <w:rPr>
          <w:spacing w:val="-4"/>
        </w:rPr>
        <w:t> </w:t>
      </w:r>
      <w:r>
        <w:rPr/>
        <w:t>Additionally,</w:t>
      </w:r>
      <w:r>
        <w:rPr>
          <w:spacing w:val="-4"/>
        </w:rPr>
        <w:t> </w:t>
      </w:r>
      <w:r>
        <w:rPr/>
        <w:t>24</w:t>
      </w:r>
      <w:r>
        <w:rPr>
          <w:spacing w:val="-4"/>
        </w:rPr>
        <w:t> </w:t>
      </w:r>
      <w:r>
        <w:rPr/>
        <w:t>CFR</w:t>
      </w:r>
      <w:r>
        <w:rPr>
          <w:spacing w:val="-4"/>
        </w:rPr>
        <w:t> </w:t>
      </w:r>
      <w:r>
        <w:rPr/>
        <w:t>960.257(b)(4)</w:t>
      </w:r>
      <w:r>
        <w:rPr>
          <w:spacing w:val="-5"/>
        </w:rPr>
        <w:t> </w:t>
      </w:r>
      <w:r>
        <w:rPr/>
        <w:t>states</w:t>
      </w:r>
      <w:r>
        <w:rPr>
          <w:spacing w:val="-4"/>
        </w:rPr>
        <w:t> </w:t>
      </w:r>
      <w:r>
        <w:rPr/>
        <w:t>that,</w:t>
      </w:r>
      <w:r>
        <w:rPr>
          <w:spacing w:val="-4"/>
        </w:rPr>
        <w:t> </w:t>
      </w:r>
      <w:r>
        <w:rPr/>
        <w:t>for</w:t>
      </w:r>
      <w:r>
        <w:rPr>
          <w:spacing w:val="-5"/>
        </w:rPr>
        <w:t> </w:t>
      </w:r>
      <w:r>
        <w:rPr/>
        <w:t>over-income</w:t>
      </w:r>
      <w:r>
        <w:rPr>
          <w:spacing w:val="-6"/>
        </w:rPr>
        <w:t> </w:t>
      </w:r>
      <w:r>
        <w:rPr/>
        <w:t>families in the period after the end of the 24 consecutive month grace period but before their tenancy termination pursuant to 24 CFR 960.507(d)(2), the PHA must conduct an interim reexamination of family income as otherwise required under 24 CFR 960.257. However, the resulting income determination will not make the family eligible to remain in the public housing program beyond the period before termination as defined by PHA policy. For over-income families who are in their grace period, 24 CFR 960.257 and 24 CFR 960.507(c) will dictate when income reexaminations occur.</w:t>
      </w:r>
    </w:p>
    <w:p>
      <w:pPr>
        <w:pStyle w:val="BodyText"/>
      </w:pPr>
    </w:p>
    <w:p>
      <w:pPr>
        <w:pStyle w:val="BodyText"/>
        <w:ind w:left="120"/>
      </w:pPr>
      <w:r>
        <w:rPr>
          <w:i/>
        </w:rPr>
        <w:t>24</w:t>
      </w:r>
      <w:r>
        <w:rPr>
          <w:i/>
          <w:spacing w:val="-5"/>
        </w:rPr>
        <w:t> </w:t>
      </w:r>
      <w:r>
        <w:rPr>
          <w:i/>
        </w:rPr>
        <w:t>CFR</w:t>
      </w:r>
      <w:r>
        <w:rPr>
          <w:i/>
          <w:spacing w:val="-5"/>
        </w:rPr>
        <w:t> </w:t>
      </w:r>
      <w:r>
        <w:rPr>
          <w:i/>
        </w:rPr>
        <w:t>960.261</w:t>
      </w:r>
      <w:r>
        <w:rPr/>
        <w:t>-</w:t>
      </w:r>
      <w:r>
        <w:rPr>
          <w:spacing w:val="-5"/>
        </w:rPr>
        <w:t> </w:t>
      </w:r>
      <w:r>
        <w:rPr/>
        <w:t>Restriction</w:t>
      </w:r>
      <w:r>
        <w:rPr>
          <w:spacing w:val="-4"/>
        </w:rPr>
        <w:t> </w:t>
      </w:r>
      <w:r>
        <w:rPr/>
        <w:t>on</w:t>
      </w:r>
      <w:r>
        <w:rPr>
          <w:spacing w:val="-5"/>
        </w:rPr>
        <w:t> </w:t>
      </w:r>
      <w:r>
        <w:rPr/>
        <w:t>eviction</w:t>
      </w:r>
      <w:r>
        <w:rPr>
          <w:spacing w:val="-5"/>
        </w:rPr>
        <w:t> </w:t>
      </w:r>
      <w:r>
        <w:rPr/>
        <w:t>of</w:t>
      </w:r>
      <w:r>
        <w:rPr>
          <w:spacing w:val="-5"/>
        </w:rPr>
        <w:t> </w:t>
      </w:r>
      <w:r>
        <w:rPr/>
        <w:t>families</w:t>
      </w:r>
      <w:r>
        <w:rPr>
          <w:spacing w:val="-4"/>
        </w:rPr>
        <w:t> </w:t>
      </w:r>
      <w:r>
        <w:rPr/>
        <w:t>based</w:t>
      </w:r>
      <w:r>
        <w:rPr>
          <w:spacing w:val="-4"/>
        </w:rPr>
        <w:t> </w:t>
      </w:r>
      <w:r>
        <w:rPr/>
        <w:t>on</w:t>
      </w:r>
      <w:r>
        <w:rPr>
          <w:spacing w:val="-4"/>
        </w:rPr>
        <w:t> </w:t>
      </w:r>
      <w:r>
        <w:rPr/>
        <w:t>income.</w:t>
      </w:r>
      <w:r>
        <w:rPr>
          <w:spacing w:val="-3"/>
        </w:rPr>
        <w:t> </w:t>
      </w:r>
      <w:r>
        <w:rPr>
          <w:spacing w:val="-2"/>
        </w:rPr>
        <w:t>[Removed]</w:t>
      </w:r>
    </w:p>
    <w:p>
      <w:pPr>
        <w:pStyle w:val="BodyText"/>
        <w:ind w:left="120" w:right="1295"/>
      </w:pPr>
      <w:r>
        <w:rPr/>
        <w:t>Section 960.261(a) currently states that “PHAs may evict or terminate the tenancies of families who</w:t>
      </w:r>
      <w:r>
        <w:rPr>
          <w:spacing w:val="-1"/>
        </w:rPr>
        <w:t> </w:t>
      </w:r>
      <w:r>
        <w:rPr/>
        <w:t>are</w:t>
      </w:r>
      <w:r>
        <w:rPr>
          <w:spacing w:val="-2"/>
        </w:rPr>
        <w:t> </w:t>
      </w:r>
      <w:r>
        <w:rPr/>
        <w:t>over</w:t>
      </w:r>
      <w:r>
        <w:rPr>
          <w:spacing w:val="-2"/>
        </w:rPr>
        <w:t> </w:t>
      </w:r>
      <w:r>
        <w:rPr/>
        <w:t>income…”. Paragraph (b)</w:t>
      </w:r>
      <w:r>
        <w:rPr>
          <w:spacing w:val="-2"/>
        </w:rPr>
        <w:t> </w:t>
      </w:r>
      <w:r>
        <w:rPr/>
        <w:t>of</w:t>
      </w:r>
      <w:r>
        <w:rPr>
          <w:spacing w:val="-2"/>
        </w:rPr>
        <w:t> </w:t>
      </w:r>
      <w:r>
        <w:rPr/>
        <w:t>this</w:t>
      </w:r>
      <w:r>
        <w:rPr>
          <w:spacing w:val="-1"/>
        </w:rPr>
        <w:t> </w:t>
      </w:r>
      <w:r>
        <w:rPr/>
        <w:t>section</w:t>
      </w:r>
      <w:r>
        <w:rPr>
          <w:spacing w:val="-1"/>
        </w:rPr>
        <w:t> </w:t>
      </w:r>
      <w:r>
        <w:rPr/>
        <w:t>created an</w:t>
      </w:r>
      <w:r>
        <w:rPr>
          <w:spacing w:val="-1"/>
        </w:rPr>
        <w:t> </w:t>
      </w:r>
      <w:r>
        <w:rPr/>
        <w:t>exception</w:t>
      </w:r>
      <w:r>
        <w:rPr>
          <w:spacing w:val="-1"/>
        </w:rPr>
        <w:t> </w:t>
      </w:r>
      <w:r>
        <w:rPr/>
        <w:t>to</w:t>
      </w:r>
      <w:r>
        <w:rPr>
          <w:spacing w:val="-1"/>
        </w:rPr>
        <w:t> </w:t>
      </w:r>
      <w:r>
        <w:rPr/>
        <w:t>this</w:t>
      </w:r>
      <w:r>
        <w:rPr>
          <w:spacing w:val="-1"/>
        </w:rPr>
        <w:t> </w:t>
      </w:r>
      <w:r>
        <w:rPr/>
        <w:t>discretionary policy for families with a valid contract for participation in the Family Self-Sufficiency (FSS) program</w:t>
      </w:r>
      <w:r>
        <w:rPr>
          <w:spacing w:val="-3"/>
        </w:rPr>
        <w:t> </w:t>
      </w:r>
      <w:r>
        <w:rPr/>
        <w:t>under</w:t>
      </w:r>
      <w:r>
        <w:rPr>
          <w:spacing w:val="-4"/>
        </w:rPr>
        <w:t> </w:t>
      </w:r>
      <w:r>
        <w:rPr/>
        <w:t>24</w:t>
      </w:r>
      <w:r>
        <w:rPr>
          <w:spacing w:val="-3"/>
        </w:rPr>
        <w:t> </w:t>
      </w:r>
      <w:r>
        <w:rPr/>
        <w:t>part</w:t>
      </w:r>
      <w:r>
        <w:rPr>
          <w:spacing w:val="-3"/>
        </w:rPr>
        <w:t> </w:t>
      </w:r>
      <w:r>
        <w:rPr/>
        <w:t>984</w:t>
      </w:r>
      <w:r>
        <w:rPr>
          <w:spacing w:val="-3"/>
        </w:rPr>
        <w:t> </w:t>
      </w:r>
      <w:r>
        <w:rPr/>
        <w:t>and</w:t>
      </w:r>
      <w:r>
        <w:rPr>
          <w:spacing w:val="-3"/>
        </w:rPr>
        <w:t> </w:t>
      </w:r>
      <w:r>
        <w:rPr/>
        <w:t>for</w:t>
      </w:r>
      <w:r>
        <w:rPr>
          <w:spacing w:val="-4"/>
        </w:rPr>
        <w:t> </w:t>
      </w:r>
      <w:r>
        <w:rPr/>
        <w:t>families</w:t>
      </w:r>
      <w:r>
        <w:rPr>
          <w:spacing w:val="-3"/>
        </w:rPr>
        <w:t> </w:t>
      </w:r>
      <w:r>
        <w:rPr/>
        <w:t>receiving</w:t>
      </w:r>
      <w:r>
        <w:rPr>
          <w:spacing w:val="-3"/>
        </w:rPr>
        <w:t> </w:t>
      </w:r>
      <w:r>
        <w:rPr/>
        <w:t>the</w:t>
      </w:r>
      <w:r>
        <w:rPr>
          <w:spacing w:val="-4"/>
        </w:rPr>
        <w:t> </w:t>
      </w:r>
      <w:r>
        <w:rPr/>
        <w:t>earned</w:t>
      </w:r>
      <w:r>
        <w:rPr>
          <w:spacing w:val="-3"/>
        </w:rPr>
        <w:t> </w:t>
      </w:r>
      <w:r>
        <w:rPr/>
        <w:t>income</w:t>
      </w:r>
      <w:r>
        <w:rPr>
          <w:spacing w:val="-4"/>
        </w:rPr>
        <w:t> </w:t>
      </w:r>
      <w:r>
        <w:rPr/>
        <w:t>disallowance</w:t>
      </w:r>
      <w:r>
        <w:rPr>
          <w:spacing w:val="-2"/>
        </w:rPr>
        <w:t> </w:t>
      </w:r>
      <w:r>
        <w:rPr/>
        <w:t>(EID).</w:t>
      </w:r>
      <w:r>
        <w:rPr>
          <w:spacing w:val="-3"/>
        </w:rPr>
        <w:t> </w:t>
      </w:r>
      <w:r>
        <w:rPr/>
        <w:t>As a part of the rulemaking process Section 960.261 has been removed for two reasons.</w:t>
      </w:r>
    </w:p>
    <w:p>
      <w:pPr>
        <w:pStyle w:val="BodyText"/>
      </w:pPr>
    </w:p>
    <w:p>
      <w:pPr>
        <w:pStyle w:val="BodyText"/>
        <w:spacing w:before="1"/>
        <w:ind w:left="120" w:right="1204"/>
      </w:pPr>
      <w:r>
        <w:rPr/>
        <w:t>First, the reference made in 24 CFR 960.261 to families who are over income is currently understood</w:t>
      </w:r>
      <w:r>
        <w:rPr>
          <w:spacing w:val="-2"/>
        </w:rPr>
        <w:t> </w:t>
      </w:r>
      <w:r>
        <w:rPr/>
        <w:t>to</w:t>
      </w:r>
      <w:r>
        <w:rPr>
          <w:spacing w:val="-2"/>
        </w:rPr>
        <w:t> </w:t>
      </w:r>
      <w:r>
        <w:rPr/>
        <w:t>mean</w:t>
      </w:r>
      <w:r>
        <w:rPr>
          <w:spacing w:val="-2"/>
        </w:rPr>
        <w:t> </w:t>
      </w:r>
      <w:r>
        <w:rPr/>
        <w:t>a</w:t>
      </w:r>
      <w:r>
        <w:rPr>
          <w:spacing w:val="-3"/>
        </w:rPr>
        <w:t> </w:t>
      </w:r>
      <w:r>
        <w:rPr/>
        <w:t>family</w:t>
      </w:r>
      <w:r>
        <w:rPr>
          <w:spacing w:val="-2"/>
        </w:rPr>
        <w:t> </w:t>
      </w:r>
      <w:r>
        <w:rPr/>
        <w:t>whose</w:t>
      </w:r>
      <w:r>
        <w:rPr>
          <w:spacing w:val="-4"/>
        </w:rPr>
        <w:t> </w:t>
      </w:r>
      <w:r>
        <w:rPr/>
        <w:t>annual</w:t>
      </w:r>
      <w:r>
        <w:rPr>
          <w:spacing w:val="-3"/>
        </w:rPr>
        <w:t> </w:t>
      </w:r>
      <w:r>
        <w:rPr/>
        <w:t>income</w:t>
      </w:r>
      <w:r>
        <w:rPr>
          <w:spacing w:val="-4"/>
        </w:rPr>
        <w:t> </w:t>
      </w:r>
      <w:r>
        <w:rPr/>
        <w:t>exceeds</w:t>
      </w:r>
      <w:r>
        <w:rPr>
          <w:spacing w:val="-3"/>
        </w:rPr>
        <w:t> </w:t>
      </w:r>
      <w:r>
        <w:rPr/>
        <w:t>the</w:t>
      </w:r>
      <w:r>
        <w:rPr>
          <w:spacing w:val="-5"/>
        </w:rPr>
        <w:t> </w:t>
      </w:r>
      <w:r>
        <w:rPr/>
        <w:t>limit</w:t>
      </w:r>
      <w:r>
        <w:rPr>
          <w:spacing w:val="-3"/>
        </w:rPr>
        <w:t> </w:t>
      </w:r>
      <w:r>
        <w:rPr/>
        <w:t>for</w:t>
      </w:r>
      <w:r>
        <w:rPr>
          <w:spacing w:val="-4"/>
        </w:rPr>
        <w:t> </w:t>
      </w:r>
      <w:r>
        <w:rPr/>
        <w:t>a</w:t>
      </w:r>
      <w:r>
        <w:rPr>
          <w:spacing w:val="-5"/>
        </w:rPr>
        <w:t> </w:t>
      </w:r>
      <w:r>
        <w:rPr/>
        <w:t>low-income</w:t>
      </w:r>
      <w:r>
        <w:rPr>
          <w:spacing w:val="-4"/>
        </w:rPr>
        <w:t> </w:t>
      </w:r>
      <w:r>
        <w:rPr/>
        <w:t>family</w:t>
      </w:r>
      <w:r>
        <w:rPr>
          <w:spacing w:val="-3"/>
        </w:rPr>
        <w:t> </w:t>
      </w:r>
      <w:r>
        <w:rPr/>
        <w:t>at</w:t>
      </w:r>
    </w:p>
    <w:p>
      <w:pPr>
        <w:spacing w:after="0"/>
        <w:sectPr>
          <w:pgSz w:w="12240" w:h="15840"/>
          <w:pgMar w:header="0" w:footer="1033" w:top="1360" w:bottom="1220" w:left="1320" w:right="240"/>
        </w:sectPr>
      </w:pPr>
    </w:p>
    <w:p>
      <w:pPr>
        <w:pStyle w:val="BodyText"/>
        <w:spacing w:before="79"/>
        <w:ind w:left="120" w:right="1204"/>
      </w:pPr>
      <w:r>
        <w:rPr/>
        <w:t>the time of initial occupancy which is 80 percent of the area median income (AMI) or lower. HUD</w:t>
      </w:r>
      <w:r>
        <w:rPr>
          <w:spacing w:val="-3"/>
        </w:rPr>
        <w:t> </w:t>
      </w:r>
      <w:r>
        <w:rPr/>
        <w:t>has</w:t>
      </w:r>
      <w:r>
        <w:rPr>
          <w:spacing w:val="-2"/>
        </w:rPr>
        <w:t> </w:t>
      </w:r>
      <w:r>
        <w:rPr/>
        <w:t>determined</w:t>
      </w:r>
      <w:r>
        <w:rPr>
          <w:spacing w:val="-2"/>
        </w:rPr>
        <w:t> </w:t>
      </w:r>
      <w:r>
        <w:rPr/>
        <w:t>that</w:t>
      </w:r>
      <w:r>
        <w:rPr>
          <w:spacing w:val="-2"/>
        </w:rPr>
        <w:t> </w:t>
      </w:r>
      <w:r>
        <w:rPr/>
        <w:t>24</w:t>
      </w:r>
      <w:r>
        <w:rPr>
          <w:spacing w:val="-2"/>
        </w:rPr>
        <w:t> </w:t>
      </w:r>
      <w:r>
        <w:rPr/>
        <w:t>CFR</w:t>
      </w:r>
      <w:r>
        <w:rPr>
          <w:spacing w:val="-2"/>
        </w:rPr>
        <w:t> </w:t>
      </w:r>
      <w:r>
        <w:rPr/>
        <w:t>960.261</w:t>
      </w:r>
      <w:r>
        <w:rPr>
          <w:spacing w:val="-2"/>
        </w:rPr>
        <w:t> </w:t>
      </w:r>
      <w:r>
        <w:rPr/>
        <w:t>must</w:t>
      </w:r>
      <w:r>
        <w:rPr>
          <w:spacing w:val="-2"/>
        </w:rPr>
        <w:t> </w:t>
      </w:r>
      <w:r>
        <w:rPr/>
        <w:t>be</w:t>
      </w:r>
      <w:r>
        <w:rPr>
          <w:spacing w:val="-4"/>
        </w:rPr>
        <w:t> </w:t>
      </w:r>
      <w:r>
        <w:rPr/>
        <w:t>removed</w:t>
      </w:r>
      <w:r>
        <w:rPr>
          <w:spacing w:val="-2"/>
        </w:rPr>
        <w:t> </w:t>
      </w:r>
      <w:r>
        <w:rPr/>
        <w:t>because</w:t>
      </w:r>
      <w:r>
        <w:rPr>
          <w:spacing w:val="-3"/>
        </w:rPr>
        <w:t> </w:t>
      </w:r>
      <w:r>
        <w:rPr/>
        <w:t>the</w:t>
      </w:r>
      <w:r>
        <w:rPr>
          <w:spacing w:val="-3"/>
        </w:rPr>
        <w:t> </w:t>
      </w:r>
      <w:r>
        <w:rPr/>
        <w:t>HOTMA</w:t>
      </w:r>
      <w:r>
        <w:rPr>
          <w:spacing w:val="-3"/>
        </w:rPr>
        <w:t> </w:t>
      </w:r>
      <w:r>
        <w:rPr/>
        <w:t>OI</w:t>
      </w:r>
      <w:r>
        <w:rPr>
          <w:spacing w:val="-7"/>
        </w:rPr>
        <w:t> </w:t>
      </w:r>
      <w:r>
        <w:rPr/>
        <w:t>limitation of 120 percent of AMI supersedes the prior regulation provision at 24 CFR 960.261; HOTMA establishes a new OI limit for families that have been admitted to the public housing program.</w:t>
      </w:r>
    </w:p>
    <w:p>
      <w:pPr>
        <w:pStyle w:val="BodyText"/>
        <w:ind w:left="120" w:right="1202"/>
      </w:pPr>
      <w:r>
        <w:rPr/>
        <w:t>This ensures that there is a singular definition of ‘over-income’ for continued occupancy in the public housing program. As a result of removing 24 CFR 960.261, a PHA may not evict or terminate the tenancy of OI families in the public housing program based on income until they have</w:t>
      </w:r>
      <w:r>
        <w:rPr>
          <w:spacing w:val="-4"/>
        </w:rPr>
        <w:t> </w:t>
      </w:r>
      <w:r>
        <w:rPr/>
        <w:t>been</w:t>
      </w:r>
      <w:r>
        <w:rPr>
          <w:spacing w:val="-2"/>
        </w:rPr>
        <w:t> </w:t>
      </w:r>
      <w:r>
        <w:rPr/>
        <w:t>over</w:t>
      </w:r>
      <w:r>
        <w:rPr>
          <w:spacing w:val="-3"/>
        </w:rPr>
        <w:t> </w:t>
      </w:r>
      <w:r>
        <w:rPr/>
        <w:t>120</w:t>
      </w:r>
      <w:r>
        <w:rPr>
          <w:spacing w:val="-2"/>
        </w:rPr>
        <w:t> </w:t>
      </w:r>
      <w:r>
        <w:rPr/>
        <w:t>percent</w:t>
      </w:r>
      <w:r>
        <w:rPr>
          <w:spacing w:val="-2"/>
        </w:rPr>
        <w:t> </w:t>
      </w:r>
      <w:r>
        <w:rPr/>
        <w:t>AMI</w:t>
      </w:r>
      <w:r>
        <w:rPr>
          <w:spacing w:val="-3"/>
        </w:rPr>
        <w:t> </w:t>
      </w:r>
      <w:r>
        <w:rPr/>
        <w:t>for</w:t>
      </w:r>
      <w:r>
        <w:rPr>
          <w:spacing w:val="-3"/>
        </w:rPr>
        <w:t> </w:t>
      </w:r>
      <w:r>
        <w:rPr/>
        <w:t>24</w:t>
      </w:r>
      <w:r>
        <w:rPr>
          <w:spacing w:val="-2"/>
        </w:rPr>
        <w:t> </w:t>
      </w:r>
      <w:r>
        <w:rPr/>
        <w:t>consecutive</w:t>
      </w:r>
      <w:r>
        <w:rPr>
          <w:spacing w:val="-3"/>
        </w:rPr>
        <w:t> </w:t>
      </w:r>
      <w:r>
        <w:rPr/>
        <w:t>months</w:t>
      </w:r>
      <w:r>
        <w:rPr>
          <w:spacing w:val="-2"/>
        </w:rPr>
        <w:t> </w:t>
      </w:r>
      <w:r>
        <w:rPr/>
        <w:t>and</w:t>
      </w:r>
      <w:r>
        <w:rPr>
          <w:spacing w:val="-2"/>
        </w:rPr>
        <w:t> </w:t>
      </w:r>
      <w:r>
        <w:rPr/>
        <w:t>the</w:t>
      </w:r>
      <w:r>
        <w:rPr>
          <w:spacing w:val="-3"/>
        </w:rPr>
        <w:t> </w:t>
      </w:r>
      <w:r>
        <w:rPr/>
        <w:t>PHA</w:t>
      </w:r>
      <w:r>
        <w:rPr>
          <w:spacing w:val="-3"/>
        </w:rPr>
        <w:t> </w:t>
      </w:r>
      <w:r>
        <w:rPr/>
        <w:t>has</w:t>
      </w:r>
      <w:r>
        <w:rPr>
          <w:spacing w:val="-2"/>
        </w:rPr>
        <w:t> </w:t>
      </w:r>
      <w:r>
        <w:rPr/>
        <w:t>implemented</w:t>
      </w:r>
      <w:r>
        <w:rPr>
          <w:spacing w:val="-2"/>
        </w:rPr>
        <w:t> </w:t>
      </w:r>
      <w:r>
        <w:rPr/>
        <w:t>an</w:t>
      </w:r>
      <w:r>
        <w:rPr>
          <w:spacing w:val="-2"/>
        </w:rPr>
        <w:t> </w:t>
      </w:r>
      <w:r>
        <w:rPr/>
        <w:t>OI policy in their written policies. Some PHAs may need to amend their written policies if they previously had a policy to not allow families to stay in the public housing program if their income exceeded 80 percent of AMI.</w:t>
      </w:r>
      <w:r>
        <w:rPr>
          <w:spacing w:val="40"/>
        </w:rPr>
        <w:t> </w:t>
      </w:r>
      <w:r>
        <w:rPr/>
        <w:t>Note that for initial occupancy in the public housing program, families must still not exceed 80 percent of AMI.</w:t>
      </w:r>
    </w:p>
    <w:p>
      <w:pPr>
        <w:pStyle w:val="BodyText"/>
      </w:pPr>
    </w:p>
    <w:p>
      <w:pPr>
        <w:pStyle w:val="BodyText"/>
        <w:ind w:left="120" w:right="1204"/>
      </w:pPr>
      <w:r>
        <w:rPr/>
        <w:t>Second, 24 CFR 960.261 has been deleted to remove the exception to evict or terminate the tenancy of a family solely because the family is OI provided the family has a valid contract for participation</w:t>
      </w:r>
      <w:r>
        <w:rPr>
          <w:spacing w:val="-3"/>
        </w:rPr>
        <w:t> </w:t>
      </w:r>
      <w:r>
        <w:rPr/>
        <w:t>in</w:t>
      </w:r>
      <w:r>
        <w:rPr>
          <w:spacing w:val="-3"/>
        </w:rPr>
        <w:t> </w:t>
      </w:r>
      <w:r>
        <w:rPr/>
        <w:t>an</w:t>
      </w:r>
      <w:r>
        <w:rPr>
          <w:spacing w:val="-3"/>
        </w:rPr>
        <w:t> </w:t>
      </w:r>
      <w:r>
        <w:rPr/>
        <w:t>FSS</w:t>
      </w:r>
      <w:r>
        <w:rPr>
          <w:spacing w:val="-2"/>
        </w:rPr>
        <w:t> </w:t>
      </w:r>
      <w:r>
        <w:rPr/>
        <w:t>program</w:t>
      </w:r>
      <w:r>
        <w:rPr>
          <w:spacing w:val="-3"/>
        </w:rPr>
        <w:t> </w:t>
      </w:r>
      <w:r>
        <w:rPr/>
        <w:t>under</w:t>
      </w:r>
      <w:r>
        <w:rPr>
          <w:spacing w:val="-2"/>
        </w:rPr>
        <w:t> </w:t>
      </w:r>
      <w:r>
        <w:rPr/>
        <w:t>part</w:t>
      </w:r>
      <w:r>
        <w:rPr>
          <w:spacing w:val="-3"/>
        </w:rPr>
        <w:t> </w:t>
      </w:r>
      <w:r>
        <w:rPr/>
        <w:t>984</w:t>
      </w:r>
      <w:r>
        <w:rPr>
          <w:spacing w:val="-3"/>
        </w:rPr>
        <w:t> </w:t>
      </w:r>
      <w:r>
        <w:rPr/>
        <w:t>or</w:t>
      </w:r>
      <w:r>
        <w:rPr>
          <w:spacing w:val="-2"/>
        </w:rPr>
        <w:t> </w:t>
      </w:r>
      <w:r>
        <w:rPr/>
        <w:t>if</w:t>
      </w:r>
      <w:r>
        <w:rPr>
          <w:spacing w:val="-4"/>
        </w:rPr>
        <w:t> </w:t>
      </w:r>
      <w:r>
        <w:rPr/>
        <w:t>the</w:t>
      </w:r>
      <w:r>
        <w:rPr>
          <w:spacing w:val="-4"/>
        </w:rPr>
        <w:t> </w:t>
      </w:r>
      <w:r>
        <w:rPr/>
        <w:t>family</w:t>
      </w:r>
      <w:r>
        <w:rPr>
          <w:spacing w:val="-3"/>
        </w:rPr>
        <w:t> </w:t>
      </w:r>
      <w:r>
        <w:rPr/>
        <w:t>receives</w:t>
      </w:r>
      <w:r>
        <w:rPr>
          <w:spacing w:val="-3"/>
        </w:rPr>
        <w:t> </w:t>
      </w:r>
      <w:r>
        <w:rPr/>
        <w:t>EID.</w:t>
      </w:r>
      <w:r>
        <w:rPr>
          <w:spacing w:val="-3"/>
        </w:rPr>
        <w:t> </w:t>
      </w:r>
      <w:r>
        <w:rPr/>
        <w:t>With</w:t>
      </w:r>
      <w:r>
        <w:rPr>
          <w:spacing w:val="-3"/>
        </w:rPr>
        <w:t> </w:t>
      </w:r>
      <w:r>
        <w:rPr/>
        <w:t>this</w:t>
      </w:r>
      <w:r>
        <w:rPr>
          <w:spacing w:val="-3"/>
        </w:rPr>
        <w:t> </w:t>
      </w:r>
      <w:r>
        <w:rPr/>
        <w:t>final</w:t>
      </w:r>
      <w:r>
        <w:rPr>
          <w:spacing w:val="-3"/>
        </w:rPr>
        <w:t> </w:t>
      </w:r>
      <w:r>
        <w:rPr/>
        <w:t>rule, HUD intends for there to be no exceptions to the HOTMA OI provision.</w:t>
      </w:r>
    </w:p>
    <w:p>
      <w:pPr>
        <w:pStyle w:val="BodyText"/>
      </w:pPr>
    </w:p>
    <w:p>
      <w:pPr>
        <w:pStyle w:val="BodyText"/>
        <w:spacing w:line="256" w:lineRule="auto"/>
        <w:ind w:left="120" w:right="1354"/>
      </w:pPr>
      <w:r>
        <w:rPr>
          <w:i/>
        </w:rPr>
        <w:t>24 CFR 964.125 </w:t>
      </w:r>
      <w:r>
        <w:rPr/>
        <w:t>- Tenant Participation and Tenant Opportunities in Public Housing Conforming</w:t>
      </w:r>
      <w:r>
        <w:rPr>
          <w:spacing w:val="-3"/>
        </w:rPr>
        <w:t> </w:t>
      </w:r>
      <w:r>
        <w:rPr/>
        <w:t>changes</w:t>
      </w:r>
      <w:r>
        <w:rPr>
          <w:spacing w:val="-3"/>
        </w:rPr>
        <w:t> </w:t>
      </w:r>
      <w:r>
        <w:rPr/>
        <w:t>have</w:t>
      </w:r>
      <w:r>
        <w:rPr>
          <w:spacing w:val="-5"/>
        </w:rPr>
        <w:t> </w:t>
      </w:r>
      <w:r>
        <w:rPr/>
        <w:t>been</w:t>
      </w:r>
      <w:r>
        <w:rPr>
          <w:spacing w:val="-3"/>
        </w:rPr>
        <w:t> </w:t>
      </w:r>
      <w:r>
        <w:rPr/>
        <w:t>made</w:t>
      </w:r>
      <w:r>
        <w:rPr>
          <w:spacing w:val="-4"/>
        </w:rPr>
        <w:t> </w:t>
      </w:r>
      <w:r>
        <w:rPr/>
        <w:t>to</w:t>
      </w:r>
      <w:r>
        <w:rPr>
          <w:spacing w:val="-3"/>
        </w:rPr>
        <w:t> </w:t>
      </w:r>
      <w:r>
        <w:rPr/>
        <w:t>paragraph</w:t>
      </w:r>
      <w:r>
        <w:rPr>
          <w:spacing w:val="-3"/>
        </w:rPr>
        <w:t> </w:t>
      </w:r>
      <w:r>
        <w:rPr/>
        <w:t>(a)</w:t>
      </w:r>
      <w:r>
        <w:rPr>
          <w:spacing w:val="-4"/>
        </w:rPr>
        <w:t> </w:t>
      </w:r>
      <w:r>
        <w:rPr/>
        <w:t>of</w:t>
      </w:r>
      <w:r>
        <w:rPr>
          <w:spacing w:val="-4"/>
        </w:rPr>
        <w:t> </w:t>
      </w:r>
      <w:r>
        <w:rPr/>
        <w:t>this</w:t>
      </w:r>
      <w:r>
        <w:rPr>
          <w:spacing w:val="-3"/>
        </w:rPr>
        <w:t> </w:t>
      </w:r>
      <w:r>
        <w:rPr/>
        <w:t>section</w:t>
      </w:r>
      <w:r>
        <w:rPr>
          <w:spacing w:val="-3"/>
        </w:rPr>
        <w:t> </w:t>
      </w:r>
      <w:r>
        <w:rPr/>
        <w:t>to</w:t>
      </w:r>
      <w:r>
        <w:rPr>
          <w:spacing w:val="-3"/>
        </w:rPr>
        <w:t> </w:t>
      </w:r>
      <w:r>
        <w:rPr/>
        <w:t>clarify</w:t>
      </w:r>
      <w:r>
        <w:rPr>
          <w:spacing w:val="-3"/>
        </w:rPr>
        <w:t> </w:t>
      </w:r>
      <w:r>
        <w:rPr/>
        <w:t>that</w:t>
      </w:r>
      <w:r>
        <w:rPr>
          <w:spacing w:val="-3"/>
        </w:rPr>
        <w:t> </w:t>
      </w:r>
      <w:r>
        <w:rPr/>
        <w:t>members</w:t>
      </w:r>
      <w:r>
        <w:rPr>
          <w:spacing w:val="-3"/>
        </w:rPr>
        <w:t> </w:t>
      </w:r>
      <w:r>
        <w:rPr/>
        <w:t>of an NPHOI family, as described in 24 CFR 960.507, are no longer eligible to be members of a</w:t>
      </w:r>
    </w:p>
    <w:p>
      <w:pPr>
        <w:pStyle w:val="BodyText"/>
        <w:spacing w:line="252" w:lineRule="exact"/>
        <w:ind w:left="120"/>
      </w:pPr>
      <w:r>
        <w:rPr/>
        <w:t>resident</w:t>
      </w:r>
      <w:r>
        <w:rPr>
          <w:spacing w:val="-5"/>
        </w:rPr>
        <w:t> </w:t>
      </w:r>
      <w:r>
        <w:rPr/>
        <w:t>council.</w:t>
      </w:r>
      <w:r>
        <w:rPr>
          <w:spacing w:val="-4"/>
        </w:rPr>
        <w:t> </w:t>
      </w:r>
      <w:r>
        <w:rPr/>
        <w:t>There</w:t>
      </w:r>
      <w:r>
        <w:rPr>
          <w:spacing w:val="-5"/>
        </w:rPr>
        <w:t> </w:t>
      </w:r>
      <w:r>
        <w:rPr/>
        <w:t>is</w:t>
      </w:r>
      <w:r>
        <w:rPr>
          <w:spacing w:val="-2"/>
        </w:rPr>
        <w:t> </w:t>
      </w:r>
      <w:r>
        <w:rPr/>
        <w:t>no</w:t>
      </w:r>
      <w:r>
        <w:rPr>
          <w:spacing w:val="-4"/>
        </w:rPr>
        <w:t> </w:t>
      </w:r>
      <w:r>
        <w:rPr/>
        <w:t>PHA</w:t>
      </w:r>
      <w:r>
        <w:rPr>
          <w:spacing w:val="-5"/>
        </w:rPr>
        <w:t> </w:t>
      </w:r>
      <w:r>
        <w:rPr/>
        <w:t>discretion</w:t>
      </w:r>
      <w:r>
        <w:rPr>
          <w:spacing w:val="-4"/>
        </w:rPr>
        <w:t> </w:t>
      </w:r>
      <w:r>
        <w:rPr/>
        <w:t>to</w:t>
      </w:r>
      <w:r>
        <w:rPr>
          <w:spacing w:val="-5"/>
        </w:rPr>
        <w:t> </w:t>
      </w:r>
      <w:r>
        <w:rPr/>
        <w:t>exempt</w:t>
      </w:r>
      <w:r>
        <w:rPr>
          <w:spacing w:val="-4"/>
        </w:rPr>
        <w:t> </w:t>
      </w:r>
      <w:r>
        <w:rPr/>
        <w:t>an</w:t>
      </w:r>
      <w:r>
        <w:rPr>
          <w:spacing w:val="-4"/>
        </w:rPr>
        <w:t> </w:t>
      </w:r>
      <w:r>
        <w:rPr/>
        <w:t>NPHOI</w:t>
      </w:r>
      <w:r>
        <w:rPr>
          <w:spacing w:val="-9"/>
        </w:rPr>
        <w:t> </w:t>
      </w:r>
      <w:r>
        <w:rPr/>
        <w:t>family</w:t>
      </w:r>
      <w:r>
        <w:rPr>
          <w:spacing w:val="-4"/>
        </w:rPr>
        <w:t> </w:t>
      </w:r>
      <w:r>
        <w:rPr/>
        <w:t>member</w:t>
      </w:r>
      <w:r>
        <w:rPr>
          <w:spacing w:val="-6"/>
        </w:rPr>
        <w:t> </w:t>
      </w:r>
      <w:r>
        <w:rPr/>
        <w:t>from</w:t>
      </w:r>
      <w:r>
        <w:rPr>
          <w:spacing w:val="-5"/>
        </w:rPr>
        <w:t> </w:t>
      </w:r>
      <w:r>
        <w:rPr>
          <w:spacing w:val="-4"/>
        </w:rPr>
        <w:t>this</w:t>
      </w:r>
    </w:p>
    <w:p>
      <w:pPr>
        <w:pStyle w:val="BodyText"/>
        <w:spacing w:line="274" w:lineRule="exact"/>
        <w:ind w:left="120"/>
      </w:pPr>
      <w:r>
        <w:rPr>
          <w:spacing w:val="-2"/>
        </w:rPr>
        <w:t>regulation.</w:t>
      </w:r>
    </w:p>
    <w:p>
      <w:pPr>
        <w:pStyle w:val="BodyText"/>
        <w:spacing w:before="2"/>
      </w:pPr>
    </w:p>
    <w:p>
      <w:pPr>
        <w:spacing w:before="1"/>
        <w:ind w:left="120" w:right="0" w:firstLine="0"/>
        <w:jc w:val="left"/>
        <w:rPr>
          <w:sz w:val="24"/>
        </w:rPr>
      </w:pPr>
      <w:r>
        <w:rPr>
          <w:i/>
          <w:sz w:val="24"/>
        </w:rPr>
        <w:t>24</w:t>
      </w:r>
      <w:r>
        <w:rPr>
          <w:i/>
          <w:spacing w:val="-4"/>
          <w:sz w:val="24"/>
        </w:rPr>
        <w:t> </w:t>
      </w:r>
      <w:r>
        <w:rPr>
          <w:i/>
          <w:sz w:val="24"/>
        </w:rPr>
        <w:t>CFR</w:t>
      </w:r>
      <w:r>
        <w:rPr>
          <w:i/>
          <w:spacing w:val="-4"/>
          <w:sz w:val="24"/>
        </w:rPr>
        <w:t> </w:t>
      </w:r>
      <w:r>
        <w:rPr>
          <w:i/>
          <w:sz w:val="24"/>
        </w:rPr>
        <w:t>966.4</w:t>
      </w:r>
      <w:r>
        <w:rPr>
          <w:i/>
          <w:spacing w:val="-4"/>
          <w:sz w:val="24"/>
        </w:rPr>
        <w:t> </w:t>
      </w:r>
      <w:r>
        <w:rPr>
          <w:sz w:val="24"/>
        </w:rPr>
        <w:t>–</w:t>
      </w:r>
      <w:r>
        <w:rPr>
          <w:spacing w:val="-3"/>
          <w:sz w:val="24"/>
        </w:rPr>
        <w:t> </w:t>
      </w:r>
      <w:r>
        <w:rPr>
          <w:sz w:val="24"/>
        </w:rPr>
        <w:t>Public</w:t>
      </w:r>
      <w:r>
        <w:rPr>
          <w:spacing w:val="-5"/>
          <w:sz w:val="24"/>
        </w:rPr>
        <w:t> </w:t>
      </w:r>
      <w:r>
        <w:rPr>
          <w:sz w:val="24"/>
        </w:rPr>
        <w:t>Housing</w:t>
      </w:r>
      <w:r>
        <w:rPr>
          <w:spacing w:val="-4"/>
          <w:sz w:val="24"/>
        </w:rPr>
        <w:t> </w:t>
      </w:r>
      <w:r>
        <w:rPr>
          <w:sz w:val="24"/>
        </w:rPr>
        <w:t>Program</w:t>
      </w:r>
      <w:r>
        <w:rPr>
          <w:spacing w:val="-4"/>
          <w:sz w:val="24"/>
        </w:rPr>
        <w:t> </w:t>
      </w:r>
      <w:r>
        <w:rPr>
          <w:sz w:val="24"/>
        </w:rPr>
        <w:t>Lease</w:t>
      </w:r>
      <w:r>
        <w:rPr>
          <w:spacing w:val="-2"/>
          <w:sz w:val="24"/>
        </w:rPr>
        <w:t> requirements</w:t>
      </w:r>
    </w:p>
    <w:p>
      <w:pPr>
        <w:pStyle w:val="BodyText"/>
        <w:ind w:left="120" w:right="1205"/>
      </w:pPr>
      <w:r>
        <w:rPr/>
        <w:t>HUD made conforming changes to the lease requirements under 24 CFR 966.4 (a)(2) regarding the term of the public housing lease for PHAs that have an over-income policy requiring termination after the grace period. This change requires the public housing lease to convert to a month-to-month term to account for the period before termination as determined by PHA policy. Lastly, the regulation at 24 CFR 966.4(l)(2)(ii) has also been revised to remove the reference to 24</w:t>
      </w:r>
      <w:r>
        <w:rPr>
          <w:spacing w:val="-2"/>
        </w:rPr>
        <w:t> </w:t>
      </w:r>
      <w:r>
        <w:rPr/>
        <w:t>CFR</w:t>
      </w:r>
      <w:r>
        <w:rPr>
          <w:spacing w:val="-2"/>
        </w:rPr>
        <w:t> </w:t>
      </w:r>
      <w:r>
        <w:rPr/>
        <w:t>960.261</w:t>
      </w:r>
      <w:r>
        <w:rPr>
          <w:spacing w:val="-2"/>
        </w:rPr>
        <w:t> </w:t>
      </w:r>
      <w:r>
        <w:rPr/>
        <w:t>as</w:t>
      </w:r>
      <w:r>
        <w:rPr>
          <w:spacing w:val="-2"/>
        </w:rPr>
        <w:t> </w:t>
      </w:r>
      <w:r>
        <w:rPr/>
        <w:t>one</w:t>
      </w:r>
      <w:r>
        <w:rPr>
          <w:spacing w:val="-3"/>
        </w:rPr>
        <w:t> </w:t>
      </w:r>
      <w:r>
        <w:rPr/>
        <w:t>of</w:t>
      </w:r>
      <w:r>
        <w:rPr>
          <w:spacing w:val="-3"/>
        </w:rPr>
        <w:t> </w:t>
      </w:r>
      <w:r>
        <w:rPr/>
        <w:t>the</w:t>
      </w:r>
      <w:r>
        <w:rPr>
          <w:spacing w:val="-3"/>
        </w:rPr>
        <w:t> </w:t>
      </w:r>
      <w:r>
        <w:rPr/>
        <w:t>grounds</w:t>
      </w:r>
      <w:r>
        <w:rPr>
          <w:spacing w:val="-2"/>
        </w:rPr>
        <w:t> </w:t>
      </w:r>
      <w:r>
        <w:rPr/>
        <w:t>for</w:t>
      </w:r>
      <w:r>
        <w:rPr>
          <w:spacing w:val="-3"/>
        </w:rPr>
        <w:t> </w:t>
      </w:r>
      <w:r>
        <w:rPr/>
        <w:t>termination</w:t>
      </w:r>
      <w:r>
        <w:rPr>
          <w:spacing w:val="-2"/>
        </w:rPr>
        <w:t> </w:t>
      </w:r>
      <w:r>
        <w:rPr/>
        <w:t>and</w:t>
      </w:r>
      <w:r>
        <w:rPr>
          <w:spacing w:val="-2"/>
        </w:rPr>
        <w:t> </w:t>
      </w:r>
      <w:r>
        <w:rPr/>
        <w:t>replaced</w:t>
      </w:r>
      <w:r>
        <w:rPr>
          <w:spacing w:val="-2"/>
        </w:rPr>
        <w:t> </w:t>
      </w:r>
      <w:r>
        <w:rPr/>
        <w:t>it</w:t>
      </w:r>
      <w:r>
        <w:rPr>
          <w:spacing w:val="-2"/>
        </w:rPr>
        <w:t> </w:t>
      </w:r>
      <w:r>
        <w:rPr/>
        <w:t>with</w:t>
      </w:r>
      <w:r>
        <w:rPr>
          <w:spacing w:val="-2"/>
        </w:rPr>
        <w:t> </w:t>
      </w:r>
      <w:r>
        <w:rPr/>
        <w:t>a</w:t>
      </w:r>
      <w:r>
        <w:rPr>
          <w:spacing w:val="-3"/>
        </w:rPr>
        <w:t> </w:t>
      </w:r>
      <w:r>
        <w:rPr/>
        <w:t>reference</w:t>
      </w:r>
      <w:r>
        <w:rPr>
          <w:spacing w:val="-3"/>
        </w:rPr>
        <w:t> </w:t>
      </w:r>
      <w:r>
        <w:rPr/>
        <w:t>to</w:t>
      </w:r>
      <w:r>
        <w:rPr>
          <w:spacing w:val="-2"/>
        </w:rPr>
        <w:t> </w:t>
      </w:r>
      <w:r>
        <w:rPr/>
        <w:t>24</w:t>
      </w:r>
      <w:r>
        <w:rPr>
          <w:spacing w:val="-2"/>
        </w:rPr>
        <w:t> </w:t>
      </w:r>
      <w:r>
        <w:rPr/>
        <w:t>CFR</w:t>
      </w:r>
    </w:p>
    <w:p>
      <w:pPr>
        <w:spacing w:before="0"/>
        <w:ind w:left="120" w:right="1204" w:firstLine="0"/>
        <w:jc w:val="left"/>
        <w:rPr>
          <w:i/>
          <w:sz w:val="24"/>
        </w:rPr>
      </w:pPr>
      <w:r>
        <w:rPr>
          <w:sz w:val="24"/>
        </w:rPr>
        <w:t>960.507. Paragraph (l) of this section now clarifies that being over the income limit for the program</w:t>
      </w:r>
      <w:r>
        <w:rPr>
          <w:spacing w:val="-3"/>
          <w:sz w:val="24"/>
        </w:rPr>
        <w:t> </w:t>
      </w:r>
      <w:r>
        <w:rPr>
          <w:sz w:val="24"/>
        </w:rPr>
        <w:t>qualifies</w:t>
      </w:r>
      <w:r>
        <w:rPr>
          <w:spacing w:val="-1"/>
          <w:sz w:val="24"/>
        </w:rPr>
        <w:t> </w:t>
      </w:r>
      <w:r>
        <w:rPr>
          <w:sz w:val="24"/>
        </w:rPr>
        <w:t>as</w:t>
      </w:r>
      <w:r>
        <w:rPr>
          <w:spacing w:val="-3"/>
          <w:sz w:val="24"/>
        </w:rPr>
        <w:t> </w:t>
      </w:r>
      <w:r>
        <w:rPr>
          <w:sz w:val="24"/>
        </w:rPr>
        <w:t>grounds</w:t>
      </w:r>
      <w:r>
        <w:rPr>
          <w:spacing w:val="-3"/>
          <w:sz w:val="24"/>
        </w:rPr>
        <w:t> </w:t>
      </w:r>
      <w:r>
        <w:rPr>
          <w:sz w:val="24"/>
        </w:rPr>
        <w:t>for</w:t>
      </w:r>
      <w:r>
        <w:rPr>
          <w:spacing w:val="-4"/>
          <w:sz w:val="24"/>
        </w:rPr>
        <w:t> </w:t>
      </w:r>
      <w:r>
        <w:rPr>
          <w:sz w:val="24"/>
        </w:rPr>
        <w:t>termination</w:t>
      </w:r>
      <w:r>
        <w:rPr>
          <w:spacing w:val="-3"/>
          <w:sz w:val="24"/>
        </w:rPr>
        <w:t> </w:t>
      </w:r>
      <w:r>
        <w:rPr>
          <w:sz w:val="24"/>
        </w:rPr>
        <w:t>pursuant</w:t>
      </w:r>
      <w:r>
        <w:rPr>
          <w:spacing w:val="-3"/>
          <w:sz w:val="24"/>
        </w:rPr>
        <w:t> </w:t>
      </w:r>
      <w:r>
        <w:rPr>
          <w:sz w:val="24"/>
        </w:rPr>
        <w:t>to</w:t>
      </w:r>
      <w:r>
        <w:rPr>
          <w:spacing w:val="-3"/>
          <w:sz w:val="24"/>
        </w:rPr>
        <w:t> </w:t>
      </w:r>
      <w:r>
        <w:rPr>
          <w:sz w:val="24"/>
        </w:rPr>
        <w:t>the</w:t>
      </w:r>
      <w:r>
        <w:rPr>
          <w:spacing w:val="-4"/>
          <w:sz w:val="24"/>
        </w:rPr>
        <w:t> </w:t>
      </w:r>
      <w:r>
        <w:rPr>
          <w:sz w:val="24"/>
        </w:rPr>
        <w:t>new</w:t>
      </w:r>
      <w:r>
        <w:rPr>
          <w:spacing w:val="-4"/>
          <w:sz w:val="24"/>
        </w:rPr>
        <w:t> </w:t>
      </w:r>
      <w:r>
        <w:rPr>
          <w:sz w:val="24"/>
        </w:rPr>
        <w:t>over-income</w:t>
      </w:r>
      <w:r>
        <w:rPr>
          <w:spacing w:val="-4"/>
          <w:sz w:val="24"/>
        </w:rPr>
        <w:t> </w:t>
      </w:r>
      <w:r>
        <w:rPr>
          <w:sz w:val="24"/>
        </w:rPr>
        <w:t>limit</w:t>
      </w:r>
      <w:r>
        <w:rPr>
          <w:spacing w:val="-3"/>
          <w:sz w:val="24"/>
        </w:rPr>
        <w:t> </w:t>
      </w:r>
      <w:r>
        <w:rPr>
          <w:sz w:val="24"/>
        </w:rPr>
        <w:t>provided</w:t>
      </w:r>
      <w:r>
        <w:rPr>
          <w:spacing w:val="-3"/>
          <w:sz w:val="24"/>
        </w:rPr>
        <w:t> </w:t>
      </w:r>
      <w:r>
        <w:rPr>
          <w:sz w:val="24"/>
        </w:rPr>
        <w:t>in 24 CFR 960.507. </w:t>
      </w:r>
      <w:r>
        <w:rPr>
          <w:i/>
          <w:sz w:val="24"/>
        </w:rPr>
        <w:t>All PHAs must update their public housing leases accordingly.</w:t>
      </w:r>
    </w:p>
    <w:p>
      <w:pPr>
        <w:pStyle w:val="BodyText"/>
        <w:rPr>
          <w:i/>
          <w:sz w:val="26"/>
        </w:rPr>
      </w:pPr>
    </w:p>
    <w:p>
      <w:pPr>
        <w:pStyle w:val="Heading2"/>
        <w:numPr>
          <w:ilvl w:val="0"/>
          <w:numId w:val="2"/>
        </w:numPr>
        <w:tabs>
          <w:tab w:pos="840" w:val="left" w:leader="none"/>
        </w:tabs>
        <w:spacing w:line="240" w:lineRule="auto" w:before="159" w:after="0"/>
        <w:ind w:left="840" w:right="0" w:hanging="360"/>
        <w:jc w:val="left"/>
      </w:pPr>
      <w:bookmarkStart w:name="7. Implementing Over-Income Policies" w:id="23"/>
      <w:bookmarkEnd w:id="23"/>
      <w:r>
        <w:rPr>
          <w:b w:val="0"/>
        </w:rPr>
      </w:r>
      <w:bookmarkStart w:name="_bookmark16" w:id="24"/>
      <w:bookmarkEnd w:id="24"/>
      <w:r>
        <w:rPr/>
        <w:t>I</w:t>
      </w:r>
      <w:r>
        <w:rPr/>
        <w:t>mplementing</w:t>
      </w:r>
      <w:r>
        <w:rPr>
          <w:spacing w:val="-9"/>
        </w:rPr>
        <w:t> </w:t>
      </w:r>
      <w:r>
        <w:rPr/>
        <w:t>Over-Income</w:t>
      </w:r>
      <w:r>
        <w:rPr>
          <w:spacing w:val="-10"/>
        </w:rPr>
        <w:t> </w:t>
      </w:r>
      <w:r>
        <w:rPr>
          <w:spacing w:val="-2"/>
        </w:rPr>
        <w:t>Policies</w:t>
      </w:r>
    </w:p>
    <w:p>
      <w:pPr>
        <w:pStyle w:val="BodyText"/>
        <w:ind w:left="120" w:right="1204"/>
      </w:pPr>
      <w:r>
        <w:rPr/>
        <w:t>As described above, HUD requires PHAs to update their ACOPs to conform to the new regulations for public housing families exceeding the income limit. Through the development of those policies, a PHA can consider where they could provide reasonable accommodations in the administration of the over-income requirements, provided such policies follow the 1937 Act and all applicable fair housing requirements. PHAs are subject to, among other fair housing and civil rights authorities, Section 504 of the Rehabilitation Act (Section 504), the Fair Housing Act, and Title</w:t>
      </w:r>
      <w:r>
        <w:rPr>
          <w:spacing w:val="-4"/>
        </w:rPr>
        <w:t> </w:t>
      </w:r>
      <w:r>
        <w:rPr/>
        <w:t>II</w:t>
      </w:r>
      <w:r>
        <w:rPr>
          <w:spacing w:val="-7"/>
        </w:rPr>
        <w:t> </w:t>
      </w:r>
      <w:r>
        <w:rPr/>
        <w:t>of</w:t>
      </w:r>
      <w:r>
        <w:rPr>
          <w:spacing w:val="-4"/>
        </w:rPr>
        <w:t> </w:t>
      </w:r>
      <w:r>
        <w:rPr/>
        <w:t>the</w:t>
      </w:r>
      <w:r>
        <w:rPr>
          <w:spacing w:val="-5"/>
        </w:rPr>
        <w:t> </w:t>
      </w:r>
      <w:r>
        <w:rPr/>
        <w:t>Americans</w:t>
      </w:r>
      <w:r>
        <w:rPr>
          <w:spacing w:val="-1"/>
        </w:rPr>
        <w:t> </w:t>
      </w:r>
      <w:r>
        <w:rPr/>
        <w:t>with</w:t>
      </w:r>
      <w:r>
        <w:rPr>
          <w:spacing w:val="-3"/>
        </w:rPr>
        <w:t> </w:t>
      </w:r>
      <w:r>
        <w:rPr/>
        <w:t>Disabilities</w:t>
      </w:r>
      <w:r>
        <w:rPr>
          <w:spacing w:val="-3"/>
        </w:rPr>
        <w:t> </w:t>
      </w:r>
      <w:r>
        <w:rPr/>
        <w:t>Act</w:t>
      </w:r>
      <w:r>
        <w:rPr>
          <w:spacing w:val="-3"/>
        </w:rPr>
        <w:t> </w:t>
      </w:r>
      <w:r>
        <w:rPr/>
        <w:t>(ADA),</w:t>
      </w:r>
      <w:r>
        <w:rPr>
          <w:spacing w:val="-3"/>
        </w:rPr>
        <w:t> </w:t>
      </w:r>
      <w:r>
        <w:rPr/>
        <w:t>which</w:t>
      </w:r>
      <w:r>
        <w:rPr>
          <w:spacing w:val="-3"/>
        </w:rPr>
        <w:t> </w:t>
      </w:r>
      <w:r>
        <w:rPr/>
        <w:t>include,</w:t>
      </w:r>
      <w:r>
        <w:rPr>
          <w:spacing w:val="-3"/>
        </w:rPr>
        <w:t> </w:t>
      </w:r>
      <w:r>
        <w:rPr/>
        <w:t>among</w:t>
      </w:r>
      <w:r>
        <w:rPr>
          <w:spacing w:val="-3"/>
        </w:rPr>
        <w:t> </w:t>
      </w:r>
      <w:r>
        <w:rPr/>
        <w:t>other</w:t>
      </w:r>
      <w:r>
        <w:rPr>
          <w:spacing w:val="-4"/>
        </w:rPr>
        <w:t> </w:t>
      </w:r>
      <w:r>
        <w:rPr/>
        <w:t>requirements, the obligation to grant reasonable accommodations that may be necessary for persons with </w:t>
      </w:r>
      <w:r>
        <w:rPr>
          <w:spacing w:val="-2"/>
        </w:rPr>
        <w:t>disabilities.</w:t>
      </w:r>
    </w:p>
    <w:p>
      <w:pPr>
        <w:spacing w:after="0"/>
        <w:sectPr>
          <w:pgSz w:w="12240" w:h="15840"/>
          <w:pgMar w:header="0" w:footer="1033" w:top="1360" w:bottom="1220" w:left="1320" w:right="240"/>
        </w:sectPr>
      </w:pPr>
    </w:p>
    <w:p>
      <w:pPr>
        <w:pStyle w:val="BodyText"/>
        <w:spacing w:line="237" w:lineRule="auto" w:before="74"/>
        <w:ind w:left="120" w:right="1204"/>
      </w:pPr>
      <w:r>
        <w:rPr/>
        <w:t>Generally, the requirements to implement over-income polices are found in 24 CFR 960.507. This</w:t>
      </w:r>
      <w:r>
        <w:rPr>
          <w:spacing w:val="-2"/>
        </w:rPr>
        <w:t> </w:t>
      </w:r>
      <w:r>
        <w:rPr/>
        <w:t>is</w:t>
      </w:r>
      <w:r>
        <w:rPr>
          <w:spacing w:val="-2"/>
        </w:rPr>
        <w:t> </w:t>
      </w:r>
      <w:r>
        <w:rPr/>
        <w:t>a</w:t>
      </w:r>
      <w:r>
        <w:rPr>
          <w:spacing w:val="-3"/>
        </w:rPr>
        <w:t> </w:t>
      </w:r>
      <w:r>
        <w:rPr/>
        <w:t>new</w:t>
      </w:r>
      <w:r>
        <w:rPr>
          <w:spacing w:val="-3"/>
        </w:rPr>
        <w:t> </w:t>
      </w:r>
      <w:r>
        <w:rPr/>
        <w:t>section</w:t>
      </w:r>
      <w:r>
        <w:rPr>
          <w:spacing w:val="-2"/>
        </w:rPr>
        <w:t> </w:t>
      </w:r>
      <w:r>
        <w:rPr/>
        <w:t>detailing</w:t>
      </w:r>
      <w:r>
        <w:rPr>
          <w:spacing w:val="-2"/>
        </w:rPr>
        <w:t> </w:t>
      </w:r>
      <w:r>
        <w:rPr/>
        <w:t>the</w:t>
      </w:r>
      <w:r>
        <w:rPr>
          <w:spacing w:val="-3"/>
        </w:rPr>
        <w:t> </w:t>
      </w:r>
      <w:r>
        <w:rPr/>
        <w:t>requirements</w:t>
      </w:r>
      <w:r>
        <w:rPr>
          <w:spacing w:val="-2"/>
        </w:rPr>
        <w:t> </w:t>
      </w:r>
      <w:r>
        <w:rPr/>
        <w:t>that</w:t>
      </w:r>
      <w:r>
        <w:rPr>
          <w:spacing w:val="-2"/>
        </w:rPr>
        <w:t> </w:t>
      </w:r>
      <w:r>
        <w:rPr/>
        <w:t>a</w:t>
      </w:r>
      <w:r>
        <w:rPr>
          <w:spacing w:val="-4"/>
        </w:rPr>
        <w:t> </w:t>
      </w:r>
      <w:r>
        <w:rPr/>
        <w:t>PHA</w:t>
      </w:r>
      <w:r>
        <w:rPr>
          <w:spacing w:val="-3"/>
        </w:rPr>
        <w:t> </w:t>
      </w:r>
      <w:r>
        <w:rPr/>
        <w:t>must</w:t>
      </w:r>
      <w:r>
        <w:rPr>
          <w:spacing w:val="-2"/>
        </w:rPr>
        <w:t> </w:t>
      </w:r>
      <w:r>
        <w:rPr/>
        <w:t>follow</w:t>
      </w:r>
      <w:r>
        <w:rPr>
          <w:spacing w:val="-3"/>
        </w:rPr>
        <w:t> </w:t>
      </w:r>
      <w:r>
        <w:rPr/>
        <w:t>for</w:t>
      </w:r>
      <w:r>
        <w:rPr>
          <w:spacing w:val="-3"/>
        </w:rPr>
        <w:t> </w:t>
      </w:r>
      <w:r>
        <w:rPr/>
        <w:t>families</w:t>
      </w:r>
      <w:r>
        <w:rPr>
          <w:spacing w:val="-2"/>
        </w:rPr>
        <w:t> </w:t>
      </w:r>
      <w:r>
        <w:rPr/>
        <w:t>exceeding the OI</w:t>
      </w:r>
      <w:r>
        <w:rPr>
          <w:spacing w:val="-1"/>
        </w:rPr>
        <w:t> </w:t>
      </w:r>
      <w:r>
        <w:rPr/>
        <w:t>limit for the public housing program. The requirements of 24 CFR 960.507 apply to all public housing families including FSS families and families benefiting from Earned Income Disregard (EID).</w:t>
      </w:r>
    </w:p>
    <w:p>
      <w:pPr>
        <w:pStyle w:val="BodyText"/>
        <w:spacing w:before="11"/>
        <w:rPr>
          <w:sz w:val="27"/>
        </w:rPr>
      </w:pPr>
    </w:p>
    <w:p>
      <w:pPr>
        <w:pStyle w:val="ListParagraph"/>
        <w:numPr>
          <w:ilvl w:val="1"/>
          <w:numId w:val="2"/>
        </w:numPr>
        <w:tabs>
          <w:tab w:pos="1200" w:val="left" w:leader="none"/>
        </w:tabs>
        <w:spacing w:line="240" w:lineRule="auto" w:before="0" w:after="0"/>
        <w:ind w:left="1200" w:right="0" w:hanging="360"/>
        <w:jc w:val="left"/>
        <w:rPr>
          <w:sz w:val="24"/>
        </w:rPr>
      </w:pPr>
      <w:bookmarkStart w:name="a. Determination of the Over-Income Limi" w:id="25"/>
      <w:bookmarkEnd w:id="25"/>
      <w:r>
        <w:rPr/>
      </w:r>
      <w:bookmarkStart w:name="_bookmark17" w:id="26"/>
      <w:bookmarkEnd w:id="26"/>
      <w:r>
        <w:rPr>
          <w:sz w:val="24"/>
        </w:rPr>
        <w:t>D</w:t>
      </w:r>
      <w:r>
        <w:rPr>
          <w:sz w:val="24"/>
        </w:rPr>
        <w:t>etermination</w:t>
      </w:r>
      <w:r>
        <w:rPr>
          <w:spacing w:val="-4"/>
          <w:sz w:val="24"/>
        </w:rPr>
        <w:t> </w:t>
      </w:r>
      <w:r>
        <w:rPr>
          <w:sz w:val="24"/>
        </w:rPr>
        <w:t>of</w:t>
      </w:r>
      <w:r>
        <w:rPr>
          <w:spacing w:val="-4"/>
          <w:sz w:val="24"/>
        </w:rPr>
        <w:t> </w:t>
      </w:r>
      <w:r>
        <w:rPr>
          <w:sz w:val="24"/>
        </w:rPr>
        <w:t>the</w:t>
      </w:r>
      <w:r>
        <w:rPr>
          <w:spacing w:val="-5"/>
          <w:sz w:val="24"/>
        </w:rPr>
        <w:t> </w:t>
      </w:r>
      <w:r>
        <w:rPr>
          <w:sz w:val="24"/>
        </w:rPr>
        <w:t>Over-Income</w:t>
      </w:r>
      <w:r>
        <w:rPr>
          <w:spacing w:val="-3"/>
          <w:sz w:val="24"/>
        </w:rPr>
        <w:t> </w:t>
      </w:r>
      <w:r>
        <w:rPr>
          <w:spacing w:val="-2"/>
          <w:sz w:val="24"/>
        </w:rPr>
        <w:t>Limit</w:t>
      </w:r>
    </w:p>
    <w:p>
      <w:pPr>
        <w:pStyle w:val="BodyText"/>
        <w:spacing w:line="259" w:lineRule="auto" w:before="19"/>
        <w:ind w:left="120" w:right="1027"/>
      </w:pPr>
      <w:r>
        <w:rPr/>
        <w:t>The</w:t>
      </w:r>
      <w:r>
        <w:rPr>
          <w:spacing w:val="-3"/>
        </w:rPr>
        <w:t> </w:t>
      </w:r>
      <w:r>
        <w:rPr/>
        <w:t>‘over-income</w:t>
      </w:r>
      <w:r>
        <w:rPr>
          <w:spacing w:val="-2"/>
        </w:rPr>
        <w:t> </w:t>
      </w:r>
      <w:r>
        <w:rPr/>
        <w:t>limit’</w:t>
      </w:r>
      <w:r>
        <w:rPr>
          <w:spacing w:val="-2"/>
        </w:rPr>
        <w:t> </w:t>
      </w:r>
      <w:r>
        <w:rPr/>
        <w:t>(OI</w:t>
      </w:r>
      <w:r>
        <w:rPr>
          <w:spacing w:val="-6"/>
        </w:rPr>
        <w:t> </w:t>
      </w:r>
      <w:r>
        <w:rPr/>
        <w:t>limit)</w:t>
      </w:r>
      <w:r>
        <w:rPr>
          <w:spacing w:val="-3"/>
        </w:rPr>
        <w:t> </w:t>
      </w:r>
      <w:r>
        <w:rPr/>
        <w:t>is</w:t>
      </w:r>
      <w:r>
        <w:rPr>
          <w:spacing w:val="-1"/>
        </w:rPr>
        <w:t> </w:t>
      </w:r>
      <w:r>
        <w:rPr/>
        <w:t>now</w:t>
      </w:r>
      <w:r>
        <w:rPr>
          <w:spacing w:val="-2"/>
        </w:rPr>
        <w:t> </w:t>
      </w:r>
      <w:r>
        <w:rPr/>
        <w:t>defined at</w:t>
      </w:r>
      <w:r>
        <w:rPr>
          <w:spacing w:val="-1"/>
        </w:rPr>
        <w:t> </w:t>
      </w:r>
      <w:r>
        <w:rPr/>
        <w:t>24</w:t>
      </w:r>
      <w:r>
        <w:rPr>
          <w:spacing w:val="-1"/>
        </w:rPr>
        <w:t> </w:t>
      </w:r>
      <w:r>
        <w:rPr/>
        <w:t>CFR</w:t>
      </w:r>
      <w:r>
        <w:rPr>
          <w:spacing w:val="-1"/>
        </w:rPr>
        <w:t> </w:t>
      </w:r>
      <w:r>
        <w:rPr/>
        <w:t>960.102.</w:t>
      </w:r>
      <w:r>
        <w:rPr>
          <w:spacing w:val="-1"/>
        </w:rPr>
        <w:t> </w:t>
      </w:r>
      <w:r>
        <w:rPr/>
        <w:t>The OI</w:t>
      </w:r>
      <w:r>
        <w:rPr>
          <w:spacing w:val="-6"/>
        </w:rPr>
        <w:t> </w:t>
      </w:r>
      <w:r>
        <w:rPr/>
        <w:t>limit</w:t>
      </w:r>
      <w:r>
        <w:rPr>
          <w:spacing w:val="-2"/>
        </w:rPr>
        <w:t> </w:t>
      </w:r>
      <w:r>
        <w:rPr/>
        <w:t>is</w:t>
      </w:r>
      <w:r>
        <w:rPr>
          <w:spacing w:val="-1"/>
        </w:rPr>
        <w:t> </w:t>
      </w:r>
      <w:r>
        <w:rPr/>
        <w:t>determined by multiplying the applicable income limit for a very low-inc</w:t>
      </w:r>
      <w:bookmarkStart w:name="_bookmark18" w:id="27"/>
      <w:bookmarkEnd w:id="27"/>
      <w:r>
        <w:rPr/>
        <w:t>ome</w:t>
      </w:r>
      <w:r>
        <w:rPr/>
        <w:t> (VLI) family, as defined in 24 CFR</w:t>
      </w:r>
      <w:r>
        <w:rPr>
          <w:spacing w:val="-2"/>
        </w:rPr>
        <w:t> </w:t>
      </w:r>
      <w:r>
        <w:rPr/>
        <w:t>5.603(b),</w:t>
      </w:r>
      <w:r>
        <w:rPr>
          <w:spacing w:val="-2"/>
        </w:rPr>
        <w:t> </w:t>
      </w:r>
      <w:r>
        <w:rPr/>
        <w:t>by</w:t>
      </w:r>
      <w:r>
        <w:rPr>
          <w:spacing w:val="-2"/>
        </w:rPr>
        <w:t> </w:t>
      </w:r>
      <w:r>
        <w:rPr/>
        <w:t>a</w:t>
      </w:r>
      <w:r>
        <w:rPr>
          <w:spacing w:val="-4"/>
        </w:rPr>
        <w:t> </w:t>
      </w:r>
      <w:r>
        <w:rPr/>
        <w:t>factor</w:t>
      </w:r>
      <w:r>
        <w:rPr>
          <w:spacing w:val="-3"/>
        </w:rPr>
        <w:t> </w:t>
      </w:r>
      <w:r>
        <w:rPr/>
        <w:t>of</w:t>
      </w:r>
      <w:r>
        <w:rPr>
          <w:spacing w:val="-3"/>
        </w:rPr>
        <w:t> </w:t>
      </w:r>
      <w:r>
        <w:rPr/>
        <w:t>2.4.</w:t>
      </w:r>
      <w:r>
        <w:rPr>
          <w:spacing w:val="-2"/>
        </w:rPr>
        <w:t> </w:t>
      </w:r>
      <w:r>
        <w:rPr/>
        <w:t>The</w:t>
      </w:r>
      <w:r>
        <w:rPr>
          <w:spacing w:val="-3"/>
        </w:rPr>
        <w:t> </w:t>
      </w:r>
      <w:r>
        <w:rPr/>
        <w:t>VLI</w:t>
      </w:r>
      <w:r>
        <w:rPr>
          <w:spacing w:val="-3"/>
        </w:rPr>
        <w:t> </w:t>
      </w:r>
      <w:r>
        <w:rPr/>
        <w:t>varies by</w:t>
      </w:r>
      <w:r>
        <w:rPr>
          <w:spacing w:val="-2"/>
        </w:rPr>
        <w:t> </w:t>
      </w:r>
      <w:r>
        <w:rPr/>
        <w:t>jurisdiction</w:t>
      </w:r>
      <w:hyperlink w:history="true" w:anchor="_bookmark20">
        <w:r>
          <w:rPr>
            <w:vertAlign w:val="superscript"/>
          </w:rPr>
          <w:t>6</w:t>
        </w:r>
      </w:hyperlink>
      <w:r>
        <w:rPr>
          <w:spacing w:val="-1"/>
          <w:vertAlign w:val="baseline"/>
        </w:rPr>
        <w:t> </w:t>
      </w:r>
      <w:r>
        <w:rPr>
          <w:vertAlign w:val="baseline"/>
        </w:rPr>
        <w:t>and</w:t>
      </w:r>
      <w:r>
        <w:rPr>
          <w:spacing w:val="-2"/>
          <w:vertAlign w:val="baseline"/>
        </w:rPr>
        <w:t> </w:t>
      </w:r>
      <w:r>
        <w:rPr>
          <w:vertAlign w:val="baseline"/>
        </w:rPr>
        <w:t>by</w:t>
      </w:r>
      <w:r>
        <w:rPr>
          <w:spacing w:val="-2"/>
          <w:vertAlign w:val="baseline"/>
        </w:rPr>
        <w:t> </w:t>
      </w:r>
      <w:r>
        <w:rPr>
          <w:vertAlign w:val="baseline"/>
        </w:rPr>
        <w:t>family</w:t>
      </w:r>
      <w:r>
        <w:rPr>
          <w:spacing w:val="-2"/>
          <w:vertAlign w:val="baseline"/>
        </w:rPr>
        <w:t> </w:t>
      </w:r>
      <w:r>
        <w:rPr>
          <w:vertAlign w:val="baseline"/>
        </w:rPr>
        <w:t>size</w:t>
      </w:r>
      <w:r>
        <w:rPr>
          <w:spacing w:val="-3"/>
          <w:vertAlign w:val="baseline"/>
        </w:rPr>
        <w:t> </w:t>
      </w:r>
      <w:r>
        <w:rPr>
          <w:vertAlign w:val="baseline"/>
        </w:rPr>
        <w:t>so</w:t>
      </w:r>
      <w:r>
        <w:rPr>
          <w:spacing w:val="-2"/>
          <w:vertAlign w:val="baseline"/>
        </w:rPr>
        <w:t> </w:t>
      </w:r>
      <w:r>
        <w:rPr>
          <w:vertAlign w:val="baseline"/>
        </w:rPr>
        <w:t>each</w:t>
      </w:r>
      <w:r>
        <w:rPr>
          <w:spacing w:val="-2"/>
          <w:vertAlign w:val="baseline"/>
        </w:rPr>
        <w:t> </w:t>
      </w:r>
      <w:r>
        <w:rPr>
          <w:vertAlign w:val="baseline"/>
        </w:rPr>
        <w:t>PHA will have to calculate the OI limit for each family size in their public housing program.</w:t>
      </w:r>
    </w:p>
    <w:p>
      <w:pPr>
        <w:pStyle w:val="BodyText"/>
        <w:spacing w:line="259" w:lineRule="auto" w:before="161"/>
        <w:ind w:left="120" w:right="1482"/>
      </w:pPr>
      <w:r>
        <w:rPr/>
        <w:t>For</w:t>
      </w:r>
      <w:r>
        <w:rPr>
          <w:spacing w:val="-3"/>
        </w:rPr>
        <w:t> </w:t>
      </w:r>
      <w:r>
        <w:rPr/>
        <w:t>example,</w:t>
      </w:r>
      <w:r>
        <w:rPr>
          <w:spacing w:val="-2"/>
        </w:rPr>
        <w:t> </w:t>
      </w:r>
      <w:r>
        <w:rPr/>
        <w:t>the</w:t>
      </w:r>
      <w:r>
        <w:rPr>
          <w:spacing w:val="-4"/>
        </w:rPr>
        <w:t> </w:t>
      </w:r>
      <w:r>
        <w:rPr/>
        <w:t>2022</w:t>
      </w:r>
      <w:r>
        <w:rPr>
          <w:spacing w:val="-2"/>
        </w:rPr>
        <w:t> </w:t>
      </w:r>
      <w:r>
        <w:rPr/>
        <w:t>VLI</w:t>
      </w:r>
      <w:r>
        <w:rPr>
          <w:spacing w:val="-6"/>
        </w:rPr>
        <w:t> </w:t>
      </w:r>
      <w:r>
        <w:rPr/>
        <w:t>limit</w:t>
      </w:r>
      <w:r>
        <w:rPr>
          <w:spacing w:val="-2"/>
        </w:rPr>
        <w:t> </w:t>
      </w:r>
      <w:r>
        <w:rPr/>
        <w:t>for</w:t>
      </w:r>
      <w:r>
        <w:rPr>
          <w:spacing w:val="-3"/>
        </w:rPr>
        <w:t> </w:t>
      </w:r>
      <w:r>
        <w:rPr/>
        <w:t>a</w:t>
      </w:r>
      <w:r>
        <w:rPr>
          <w:spacing w:val="-1"/>
        </w:rPr>
        <w:t> </w:t>
      </w:r>
      <w:r>
        <w:rPr/>
        <w:t>family</w:t>
      </w:r>
      <w:r>
        <w:rPr>
          <w:spacing w:val="-2"/>
        </w:rPr>
        <w:t> </w:t>
      </w:r>
      <w:r>
        <w:rPr/>
        <w:t>of</w:t>
      </w:r>
      <w:r>
        <w:rPr>
          <w:spacing w:val="-3"/>
        </w:rPr>
        <w:t> </w:t>
      </w:r>
      <w:r>
        <w:rPr/>
        <w:t>4 in</w:t>
      </w:r>
      <w:r>
        <w:rPr>
          <w:spacing w:val="-2"/>
        </w:rPr>
        <w:t> </w:t>
      </w:r>
      <w:r>
        <w:rPr/>
        <w:t>Washington,</w:t>
      </w:r>
      <w:r>
        <w:rPr>
          <w:spacing w:val="-2"/>
        </w:rPr>
        <w:t> </w:t>
      </w:r>
      <w:r>
        <w:rPr/>
        <w:t>DC,</w:t>
      </w:r>
      <w:r>
        <w:rPr>
          <w:spacing w:val="-2"/>
        </w:rPr>
        <w:t> </w:t>
      </w:r>
      <w:r>
        <w:rPr/>
        <w:t>is</w:t>
      </w:r>
      <w:r>
        <w:rPr>
          <w:spacing w:val="-2"/>
        </w:rPr>
        <w:t> </w:t>
      </w:r>
      <w:r>
        <w:rPr/>
        <w:t>$71,150,</w:t>
      </w:r>
      <w:r>
        <w:rPr>
          <w:spacing w:val="-2"/>
        </w:rPr>
        <w:t> </w:t>
      </w:r>
      <w:r>
        <w:rPr/>
        <w:t>so</w:t>
      </w:r>
      <w:r>
        <w:rPr>
          <w:spacing w:val="-2"/>
        </w:rPr>
        <w:t> </w:t>
      </w:r>
      <w:r>
        <w:rPr/>
        <w:t>the</w:t>
      </w:r>
      <w:r>
        <w:rPr>
          <w:spacing w:val="-3"/>
        </w:rPr>
        <w:t> </w:t>
      </w:r>
      <w:r>
        <w:rPr/>
        <w:t>over- income limit for that family size should be calculated as follows:</w:t>
      </w:r>
    </w:p>
    <w:p>
      <w:pPr>
        <w:pStyle w:val="BodyText"/>
        <w:spacing w:before="158"/>
        <w:ind w:left="911" w:right="1991"/>
        <w:jc w:val="center"/>
      </w:pPr>
      <w:r>
        <w:rPr/>
        <w:t>$71,150</w:t>
      </w:r>
      <w:r>
        <w:rPr>
          <w:spacing w:val="-2"/>
        </w:rPr>
        <w:t> </w:t>
      </w:r>
      <w:r>
        <w:rPr/>
        <w:t>x 2.4 =</w:t>
      </w:r>
      <w:r>
        <w:rPr>
          <w:spacing w:val="-1"/>
        </w:rPr>
        <w:t> </w:t>
      </w:r>
      <w:r>
        <w:rPr>
          <w:spacing w:val="-2"/>
        </w:rPr>
        <w:t>$170,760</w:t>
      </w:r>
    </w:p>
    <w:p>
      <w:pPr>
        <w:pStyle w:val="BodyText"/>
        <w:spacing w:line="259" w:lineRule="auto" w:before="182"/>
        <w:ind w:left="120" w:right="1482"/>
      </w:pPr>
      <w:r>
        <w:rPr/>
        <w:t>See</w:t>
      </w:r>
      <w:r>
        <w:rPr>
          <w:spacing w:val="-3"/>
        </w:rPr>
        <w:t> </w:t>
      </w:r>
      <w:r>
        <w:rPr/>
        <w:t>Appendix II</w:t>
      </w:r>
      <w:r>
        <w:rPr>
          <w:spacing w:val="-3"/>
        </w:rPr>
        <w:t> </w:t>
      </w:r>
      <w:r>
        <w:rPr/>
        <w:t>for</w:t>
      </w:r>
      <w:r>
        <w:rPr>
          <w:spacing w:val="-3"/>
        </w:rPr>
        <w:t> </w:t>
      </w:r>
      <w:r>
        <w:rPr/>
        <w:t>a</w:t>
      </w:r>
      <w:r>
        <w:rPr>
          <w:spacing w:val="-3"/>
        </w:rPr>
        <w:t> </w:t>
      </w:r>
      <w:r>
        <w:rPr/>
        <w:t>step-by-step</w:t>
      </w:r>
      <w:r>
        <w:rPr>
          <w:spacing w:val="-2"/>
        </w:rPr>
        <w:t> </w:t>
      </w:r>
      <w:r>
        <w:rPr/>
        <w:t>guide</w:t>
      </w:r>
      <w:r>
        <w:rPr>
          <w:spacing w:val="-4"/>
        </w:rPr>
        <w:t> </w:t>
      </w:r>
      <w:r>
        <w:rPr/>
        <w:t>on</w:t>
      </w:r>
      <w:r>
        <w:rPr>
          <w:spacing w:val="-2"/>
        </w:rPr>
        <w:t> </w:t>
      </w:r>
      <w:r>
        <w:rPr/>
        <w:t>looking</w:t>
      </w:r>
      <w:r>
        <w:rPr>
          <w:spacing w:val="-2"/>
        </w:rPr>
        <w:t> </w:t>
      </w:r>
      <w:r>
        <w:rPr/>
        <w:t>up</w:t>
      </w:r>
      <w:r>
        <w:rPr>
          <w:spacing w:val="-2"/>
        </w:rPr>
        <w:t> </w:t>
      </w:r>
      <w:r>
        <w:rPr/>
        <w:t>the</w:t>
      </w:r>
      <w:r>
        <w:rPr>
          <w:spacing w:val="-3"/>
        </w:rPr>
        <w:t> </w:t>
      </w:r>
      <w:r>
        <w:rPr/>
        <w:t>VLI</w:t>
      </w:r>
      <w:r>
        <w:rPr>
          <w:spacing w:val="-6"/>
        </w:rPr>
        <w:t> </w:t>
      </w:r>
      <w:r>
        <w:rPr/>
        <w:t>for</w:t>
      </w:r>
      <w:r>
        <w:rPr>
          <w:spacing w:val="-1"/>
        </w:rPr>
        <w:t> </w:t>
      </w:r>
      <w:r>
        <w:rPr/>
        <w:t>an</w:t>
      </w:r>
      <w:r>
        <w:rPr>
          <w:spacing w:val="-2"/>
        </w:rPr>
        <w:t> </w:t>
      </w:r>
      <w:r>
        <w:rPr/>
        <w:t>area</w:t>
      </w:r>
      <w:r>
        <w:rPr>
          <w:spacing w:val="-1"/>
        </w:rPr>
        <w:t> </w:t>
      </w:r>
      <w:r>
        <w:rPr/>
        <w:t>and</w:t>
      </w:r>
      <w:r>
        <w:rPr>
          <w:spacing w:val="-2"/>
        </w:rPr>
        <w:t> </w:t>
      </w:r>
      <w:r>
        <w:rPr/>
        <w:t>for</w:t>
      </w:r>
      <w:r>
        <w:rPr>
          <w:spacing w:val="-3"/>
        </w:rPr>
        <w:t> </w:t>
      </w:r>
      <w:r>
        <w:rPr/>
        <w:t>more </w:t>
      </w:r>
      <w:r>
        <w:rPr>
          <w:spacing w:val="-2"/>
        </w:rPr>
        <w:t>examples.</w:t>
      </w:r>
    </w:p>
    <w:p>
      <w:pPr>
        <w:pStyle w:val="BodyText"/>
        <w:spacing w:before="160"/>
        <w:ind w:left="120" w:right="1204"/>
      </w:pPr>
      <w:r>
        <w:rPr/>
        <w:t>The</w:t>
      </w:r>
      <w:r>
        <w:rPr>
          <w:spacing w:val="-4"/>
        </w:rPr>
        <w:t> </w:t>
      </w:r>
      <w:r>
        <w:rPr/>
        <w:t>OI</w:t>
      </w:r>
      <w:r>
        <w:rPr>
          <w:spacing w:val="-7"/>
        </w:rPr>
        <w:t> </w:t>
      </w:r>
      <w:r>
        <w:rPr/>
        <w:t>limit</w:t>
      </w:r>
      <w:r>
        <w:rPr>
          <w:spacing w:val="-3"/>
        </w:rPr>
        <w:t> </w:t>
      </w:r>
      <w:r>
        <w:rPr/>
        <w:t>must</w:t>
      </w:r>
      <w:r>
        <w:rPr>
          <w:spacing w:val="-2"/>
        </w:rPr>
        <w:t> </w:t>
      </w:r>
      <w:r>
        <w:rPr/>
        <w:t>then</w:t>
      </w:r>
      <w:r>
        <w:rPr>
          <w:spacing w:val="-2"/>
        </w:rPr>
        <w:t> </w:t>
      </w:r>
      <w:r>
        <w:rPr/>
        <w:t>be</w:t>
      </w:r>
      <w:r>
        <w:rPr>
          <w:spacing w:val="-3"/>
        </w:rPr>
        <w:t> </w:t>
      </w:r>
      <w:r>
        <w:rPr/>
        <w:t>compared</w:t>
      </w:r>
      <w:r>
        <w:rPr>
          <w:spacing w:val="-2"/>
        </w:rPr>
        <w:t> </w:t>
      </w:r>
      <w:r>
        <w:rPr/>
        <w:t>to</w:t>
      </w:r>
      <w:r>
        <w:rPr>
          <w:spacing w:val="-2"/>
        </w:rPr>
        <w:t> </w:t>
      </w:r>
      <w:r>
        <w:rPr/>
        <w:t>the</w:t>
      </w:r>
      <w:r>
        <w:rPr>
          <w:spacing w:val="-3"/>
        </w:rPr>
        <w:t> </w:t>
      </w:r>
      <w:r>
        <w:rPr/>
        <w:t>family’s</w:t>
      </w:r>
      <w:r>
        <w:rPr>
          <w:spacing w:val="-2"/>
        </w:rPr>
        <w:t> </w:t>
      </w:r>
      <w:r>
        <w:rPr>
          <w:i/>
        </w:rPr>
        <w:t>annual</w:t>
      </w:r>
      <w:r>
        <w:rPr>
          <w:i/>
          <w:spacing w:val="-2"/>
        </w:rPr>
        <w:t> </w:t>
      </w:r>
      <w:r>
        <w:rPr/>
        <w:t>income</w:t>
      </w:r>
      <w:r>
        <w:rPr>
          <w:spacing w:val="-3"/>
        </w:rPr>
        <w:t> </w:t>
      </w:r>
      <w:r>
        <w:rPr/>
        <w:t>(per</w:t>
      </w:r>
      <w:r>
        <w:rPr>
          <w:spacing w:val="-3"/>
        </w:rPr>
        <w:t> </w:t>
      </w:r>
      <w:r>
        <w:rPr/>
        <w:t>24 CFR</w:t>
      </w:r>
      <w:r>
        <w:rPr>
          <w:spacing w:val="-2"/>
        </w:rPr>
        <w:t> </w:t>
      </w:r>
      <w:r>
        <w:rPr/>
        <w:t>5.611)</w:t>
      </w:r>
      <w:r>
        <w:rPr>
          <w:spacing w:val="-3"/>
        </w:rPr>
        <w:t> </w:t>
      </w:r>
      <w:r>
        <w:rPr/>
        <w:t>during</w:t>
      </w:r>
      <w:r>
        <w:rPr>
          <w:spacing w:val="-2"/>
        </w:rPr>
        <w:t> </w:t>
      </w:r>
      <w:r>
        <w:rPr/>
        <w:t>an annual or interim income examination. If the family’s annual income is greater than the OI</w:t>
      </w:r>
      <w:r>
        <w:rPr>
          <w:spacing w:val="-2"/>
        </w:rPr>
        <w:t> </w:t>
      </w:r>
      <w:r>
        <w:rPr/>
        <w:t>limit, then they exceed the OI limit for the program, and must be notified in accordance with 24 CFR 960.507(c) as described below in paragraph b of this section. This is a change from the guidance provided in Notice PIH 2019-11 which instructed PHAs to compare the OI limit to the family’s adjusted income. The guidance provided in this notice, to use a family’s annual income, applies going forward. PHAs do not need to redetermine a family’s OI status based on this change in guidance for annual or interim reexaminations effective prior to the date of this notice.</w:t>
      </w:r>
    </w:p>
    <w:p>
      <w:pPr>
        <w:pStyle w:val="BodyText"/>
      </w:pPr>
    </w:p>
    <w:p>
      <w:pPr>
        <w:pStyle w:val="BodyText"/>
        <w:ind w:left="120" w:right="1204"/>
      </w:pPr>
      <w:r>
        <w:rPr/>
        <w:t>Please note, HUD’s income limits are developed by HUD’s Office of Policy Development and Research and are updated annually. Information about the income limits and HUD’s methodology for adjusting income limits as part of the</w:t>
      </w:r>
      <w:r>
        <w:rPr>
          <w:spacing w:val="-1"/>
        </w:rPr>
        <w:t> </w:t>
      </w:r>
      <w:r>
        <w:rPr/>
        <w:t>income limits calculation, can be</w:t>
      </w:r>
      <w:r>
        <w:rPr>
          <w:spacing w:val="-1"/>
        </w:rPr>
        <w:t> </w:t>
      </w:r>
      <w:r>
        <w:rPr/>
        <w:t>found at </w:t>
      </w:r>
      <w:hyperlink r:id="rId10">
        <w:r>
          <w:rPr>
            <w:u w:val="single"/>
          </w:rPr>
          <w:t>https://www.huduser.gov/portal/datasets/il.html</w:t>
        </w:r>
      </w:hyperlink>
      <w:r>
        <w:rPr/>
        <w:t>.</w:t>
      </w:r>
      <w:r>
        <w:rPr>
          <w:spacing w:val="-4"/>
        </w:rPr>
        <w:t> </w:t>
      </w:r>
      <w:r>
        <w:rPr/>
        <w:t>As</w:t>
      </w:r>
      <w:r>
        <w:rPr>
          <w:spacing w:val="-4"/>
        </w:rPr>
        <w:t> </w:t>
      </w:r>
      <w:r>
        <w:rPr/>
        <w:t>stated</w:t>
      </w:r>
      <w:r>
        <w:rPr>
          <w:spacing w:val="-4"/>
        </w:rPr>
        <w:t> </w:t>
      </w:r>
      <w:r>
        <w:rPr/>
        <w:t>in</w:t>
      </w:r>
      <w:r>
        <w:rPr>
          <w:spacing w:val="-4"/>
        </w:rPr>
        <w:t> </w:t>
      </w:r>
      <w:r>
        <w:rPr/>
        <w:t>section</w:t>
      </w:r>
      <w:r>
        <w:rPr>
          <w:spacing w:val="-4"/>
        </w:rPr>
        <w:t> </w:t>
      </w:r>
      <w:r>
        <w:rPr/>
        <w:t>5</w:t>
      </w:r>
      <w:r>
        <w:rPr>
          <w:spacing w:val="-4"/>
        </w:rPr>
        <w:t> </w:t>
      </w:r>
      <w:r>
        <w:rPr/>
        <w:t>of</w:t>
      </w:r>
      <w:r>
        <w:rPr>
          <w:spacing w:val="-5"/>
        </w:rPr>
        <w:t> </w:t>
      </w:r>
      <w:r>
        <w:rPr/>
        <w:t>this</w:t>
      </w:r>
      <w:r>
        <w:rPr>
          <w:spacing w:val="-4"/>
        </w:rPr>
        <w:t> </w:t>
      </w:r>
      <w:r>
        <w:rPr/>
        <w:t>notice,</w:t>
      </w:r>
      <w:r>
        <w:rPr>
          <w:spacing w:val="-4"/>
        </w:rPr>
        <w:t> </w:t>
      </w:r>
      <w:r>
        <w:rPr/>
        <w:t>a</w:t>
      </w:r>
      <w:r>
        <w:rPr>
          <w:spacing w:val="-5"/>
        </w:rPr>
        <w:t> </w:t>
      </w:r>
      <w:r>
        <w:rPr/>
        <w:t>PHA</w:t>
      </w:r>
      <w:r>
        <w:rPr>
          <w:spacing w:val="-5"/>
        </w:rPr>
        <w:t> </w:t>
      </w:r>
      <w:r>
        <w:rPr/>
        <w:t>must update the OI limits for the public housing program in their ACOPs no later than 60 days after HUD publishes new income limits each year. Once a family has been determined to be over- income, the PHA must follow the notification requirements described in 24 CFR 960.507(c).</w:t>
      </w:r>
    </w:p>
    <w:p>
      <w:pPr>
        <w:pStyle w:val="BodyText"/>
        <w:spacing w:before="7"/>
        <w:rPr>
          <w:sz w:val="27"/>
        </w:rPr>
      </w:pPr>
    </w:p>
    <w:p>
      <w:pPr>
        <w:pStyle w:val="ListParagraph"/>
        <w:numPr>
          <w:ilvl w:val="1"/>
          <w:numId w:val="2"/>
        </w:numPr>
        <w:tabs>
          <w:tab w:pos="1200" w:val="left" w:leader="none"/>
        </w:tabs>
        <w:spacing w:line="240" w:lineRule="auto" w:before="0" w:after="0"/>
        <w:ind w:left="1200" w:right="0" w:hanging="360"/>
        <w:jc w:val="left"/>
        <w:rPr>
          <w:sz w:val="24"/>
        </w:rPr>
      </w:pPr>
      <w:bookmarkStart w:name="b. Notification Requirements" w:id="28"/>
      <w:bookmarkEnd w:id="28"/>
      <w:r>
        <w:rPr/>
      </w:r>
      <w:bookmarkStart w:name="_bookmark19" w:id="29"/>
      <w:bookmarkEnd w:id="29"/>
      <w:r>
        <w:rPr>
          <w:sz w:val="24"/>
        </w:rPr>
        <w:t>N</w:t>
      </w:r>
      <w:r>
        <w:rPr>
          <w:sz w:val="24"/>
        </w:rPr>
        <w:t>otification</w:t>
      </w:r>
      <w:r>
        <w:rPr>
          <w:spacing w:val="-6"/>
          <w:sz w:val="24"/>
        </w:rPr>
        <w:t> </w:t>
      </w:r>
      <w:r>
        <w:rPr>
          <w:spacing w:val="-2"/>
          <w:sz w:val="24"/>
        </w:rPr>
        <w:t>Requirements</w:t>
      </w:r>
    </w:p>
    <w:p>
      <w:pPr>
        <w:pStyle w:val="BodyText"/>
        <w:spacing w:line="275" w:lineRule="exact" w:before="62"/>
        <w:ind w:left="120"/>
      </w:pPr>
      <w:r>
        <w:rPr/>
        <w:t>The</w:t>
      </w:r>
      <w:r>
        <w:rPr>
          <w:spacing w:val="-4"/>
        </w:rPr>
        <w:t> </w:t>
      </w:r>
      <w:r>
        <w:rPr/>
        <w:t>requirements</w:t>
      </w:r>
      <w:r>
        <w:rPr>
          <w:spacing w:val="-2"/>
        </w:rPr>
        <w:t> </w:t>
      </w:r>
      <w:r>
        <w:rPr/>
        <w:t>on</w:t>
      </w:r>
      <w:r>
        <w:rPr>
          <w:spacing w:val="-2"/>
        </w:rPr>
        <w:t> </w:t>
      </w:r>
      <w:r>
        <w:rPr/>
        <w:t>notifying</w:t>
      </w:r>
      <w:r>
        <w:rPr>
          <w:spacing w:val="-2"/>
        </w:rPr>
        <w:t> </w:t>
      </w:r>
      <w:r>
        <w:rPr/>
        <w:t>OI</w:t>
      </w:r>
      <w:r>
        <w:rPr>
          <w:spacing w:val="-6"/>
        </w:rPr>
        <w:t> </w:t>
      </w:r>
      <w:r>
        <w:rPr/>
        <w:t>families</w:t>
      </w:r>
      <w:r>
        <w:rPr>
          <w:spacing w:val="-2"/>
        </w:rPr>
        <w:t> </w:t>
      </w:r>
      <w:r>
        <w:rPr/>
        <w:t>are</w:t>
      </w:r>
      <w:r>
        <w:rPr>
          <w:spacing w:val="-3"/>
        </w:rPr>
        <w:t> </w:t>
      </w:r>
      <w:r>
        <w:rPr/>
        <w:t>found</w:t>
      </w:r>
      <w:r>
        <w:rPr>
          <w:spacing w:val="-2"/>
        </w:rPr>
        <w:t> </w:t>
      </w:r>
      <w:r>
        <w:rPr/>
        <w:t>in</w:t>
      </w:r>
      <w:r>
        <w:rPr>
          <w:spacing w:val="-2"/>
        </w:rPr>
        <w:t> </w:t>
      </w:r>
      <w:r>
        <w:rPr/>
        <w:t>the</w:t>
      </w:r>
      <w:r>
        <w:rPr>
          <w:spacing w:val="-3"/>
        </w:rPr>
        <w:t> </w:t>
      </w:r>
      <w:r>
        <w:rPr/>
        <w:t>regulations</w:t>
      </w:r>
      <w:r>
        <w:rPr>
          <w:spacing w:val="-2"/>
        </w:rPr>
        <w:t> </w:t>
      </w:r>
      <w:r>
        <w:rPr/>
        <w:t>at</w:t>
      </w:r>
      <w:r>
        <w:rPr>
          <w:spacing w:val="-2"/>
        </w:rPr>
        <w:t> </w:t>
      </w:r>
      <w:r>
        <w:rPr/>
        <w:t>24</w:t>
      </w:r>
      <w:r>
        <w:rPr>
          <w:spacing w:val="-2"/>
        </w:rPr>
        <w:t> </w:t>
      </w:r>
      <w:r>
        <w:rPr/>
        <w:t>CFR</w:t>
      </w:r>
      <w:r>
        <w:rPr>
          <w:spacing w:val="-2"/>
        </w:rPr>
        <w:t> 960.507(c)(1)-</w:t>
      </w:r>
    </w:p>
    <w:p>
      <w:pPr>
        <w:pStyle w:val="BodyText"/>
        <w:spacing w:line="237" w:lineRule="auto" w:before="1"/>
        <w:ind w:left="120" w:right="1204"/>
      </w:pPr>
      <w:r>
        <w:rPr/>
        <w:t>(3). The notice requirements in the final rule supersede the notice requirements discussed in Notice</w:t>
      </w:r>
      <w:r>
        <w:rPr>
          <w:spacing w:val="-4"/>
        </w:rPr>
        <w:t> </w:t>
      </w:r>
      <w:r>
        <w:rPr/>
        <w:t>PIH</w:t>
      </w:r>
      <w:r>
        <w:rPr>
          <w:spacing w:val="-4"/>
        </w:rPr>
        <w:t> </w:t>
      </w:r>
      <w:r>
        <w:rPr/>
        <w:t>2019-11,</w:t>
      </w:r>
      <w:r>
        <w:rPr>
          <w:spacing w:val="-3"/>
        </w:rPr>
        <w:t> </w:t>
      </w:r>
      <w:r>
        <w:rPr/>
        <w:t>which</w:t>
      </w:r>
      <w:r>
        <w:rPr>
          <w:spacing w:val="-3"/>
        </w:rPr>
        <w:t> </w:t>
      </w:r>
      <w:r>
        <w:rPr/>
        <w:t>only</w:t>
      </w:r>
      <w:r>
        <w:rPr>
          <w:spacing w:val="-3"/>
        </w:rPr>
        <w:t> </w:t>
      </w:r>
      <w:r>
        <w:rPr/>
        <w:t>required</w:t>
      </w:r>
      <w:r>
        <w:rPr>
          <w:spacing w:val="-3"/>
        </w:rPr>
        <w:t> </w:t>
      </w:r>
      <w:r>
        <w:rPr/>
        <w:t>two</w:t>
      </w:r>
      <w:r>
        <w:rPr>
          <w:spacing w:val="-3"/>
        </w:rPr>
        <w:t> </w:t>
      </w:r>
      <w:r>
        <w:rPr/>
        <w:t>notices.</w:t>
      </w:r>
      <w:r>
        <w:rPr>
          <w:spacing w:val="-3"/>
        </w:rPr>
        <w:t> </w:t>
      </w:r>
      <w:r>
        <w:rPr/>
        <w:t>The</w:t>
      </w:r>
      <w:r>
        <w:rPr>
          <w:spacing w:val="-4"/>
        </w:rPr>
        <w:t> </w:t>
      </w:r>
      <w:r>
        <w:rPr/>
        <w:t>new</w:t>
      </w:r>
      <w:r>
        <w:rPr>
          <w:spacing w:val="-4"/>
        </w:rPr>
        <w:t> </w:t>
      </w:r>
      <w:r>
        <w:rPr/>
        <w:t>notice</w:t>
      </w:r>
      <w:r>
        <w:rPr>
          <w:spacing w:val="-4"/>
        </w:rPr>
        <w:t> </w:t>
      </w:r>
      <w:r>
        <w:rPr/>
        <w:t>requirements</w:t>
      </w:r>
      <w:r>
        <w:rPr>
          <w:spacing w:val="-3"/>
        </w:rPr>
        <w:t> </w:t>
      </w:r>
      <w:r>
        <w:rPr/>
        <w:t>do</w:t>
      </w:r>
      <w:r>
        <w:rPr>
          <w:spacing w:val="-3"/>
        </w:rPr>
        <w:t> </w:t>
      </w:r>
      <w:r>
        <w:rPr/>
        <w:t>not</w:t>
      </w:r>
      <w:r>
        <w:rPr>
          <w:spacing w:val="-2"/>
        </w:rPr>
        <w:t> </w:t>
      </w:r>
      <w:r>
        <w:rPr/>
        <w:t>apply retroactively, so any family that has properly received notice under Notice 2019-11 will not be required to receive new notices per 24 CFR 960.507(c).</w:t>
      </w:r>
      <w:r>
        <w:rPr>
          <w:spacing w:val="-1"/>
        </w:rPr>
        <w:t> </w:t>
      </w:r>
      <w:r>
        <w:rPr/>
        <w:t>PHAs must follow the over-income notification process at 24 CFR 960.507(c) for any notices occurring after implementation of the HOTMA final rule. Therefore, a PHA must update their PHA Plan and/or ACOPs accordingly.</w:t>
      </w:r>
    </w:p>
    <w:p>
      <w:pPr>
        <w:pStyle w:val="BodyText"/>
        <w:spacing w:before="7"/>
        <w:rPr>
          <w:sz w:val="26"/>
        </w:rPr>
      </w:pPr>
      <w:r>
        <w:rPr/>
        <w:pict>
          <v:rect style="position:absolute;margin-left:72pt;margin-top:16.514282pt;width:144pt;height:.72pt;mso-position-horizontal-relative:page;mso-position-vertical-relative:paragraph;z-index:-15726080;mso-wrap-distance-left:0;mso-wrap-distance-right:0" id="docshape8" filled="true" fillcolor="#000000" stroked="false">
            <v:fill type="solid"/>
            <w10:wrap type="topAndBottom"/>
          </v:rect>
        </w:pict>
      </w:r>
    </w:p>
    <w:p>
      <w:pPr>
        <w:spacing w:before="101"/>
        <w:ind w:left="120" w:right="0" w:firstLine="0"/>
        <w:jc w:val="left"/>
        <w:rPr>
          <w:sz w:val="20"/>
        </w:rPr>
      </w:pPr>
      <w:hyperlink w:history="true" w:anchor="_bookmark18">
        <w:r>
          <w:rPr>
            <w:sz w:val="20"/>
            <w:vertAlign w:val="superscript"/>
          </w:rPr>
          <w:t>6</w:t>
        </w:r>
      </w:hyperlink>
      <w:r>
        <w:rPr>
          <w:spacing w:val="49"/>
          <w:sz w:val="20"/>
          <w:vertAlign w:val="baseline"/>
        </w:rPr>
        <w:t> </w:t>
      </w:r>
      <w:bookmarkStart w:name="_bookmark20" w:id="30"/>
      <w:bookmarkEnd w:id="30"/>
      <w:r>
        <w:rPr>
          <w:sz w:val="20"/>
          <w:vertAlign w:val="baseline"/>
        </w:rPr>
      </w:r>
      <w:hyperlink r:id="rId11">
        <w:r>
          <w:rPr>
            <w:color w:val="0562C1"/>
            <w:spacing w:val="-2"/>
            <w:sz w:val="20"/>
            <w:u w:val="single" w:color="0562C1"/>
            <w:vertAlign w:val="baseline"/>
          </w:rPr>
          <w:t>https://www.huduser.gov/portal/datasets/il.html#2022_faq</w:t>
        </w:r>
      </w:hyperlink>
    </w:p>
    <w:p>
      <w:pPr>
        <w:spacing w:after="0"/>
        <w:jc w:val="left"/>
        <w:rPr>
          <w:sz w:val="20"/>
        </w:rPr>
        <w:sectPr>
          <w:pgSz w:w="12240" w:h="15840"/>
          <w:pgMar w:header="0" w:footer="1033" w:top="1360" w:bottom="1220" w:left="1320" w:right="240"/>
        </w:sectPr>
      </w:pPr>
    </w:p>
    <w:p>
      <w:pPr>
        <w:pStyle w:val="BodyText"/>
        <w:spacing w:line="237" w:lineRule="auto" w:before="76"/>
        <w:ind w:left="120" w:right="1204"/>
      </w:pPr>
      <w:r>
        <w:rPr/>
        <w:t>PHAs</w:t>
      </w:r>
      <w:r>
        <w:rPr>
          <w:spacing w:val="-2"/>
        </w:rPr>
        <w:t> </w:t>
      </w:r>
      <w:r>
        <w:rPr/>
        <w:t>should</w:t>
      </w:r>
      <w:r>
        <w:rPr>
          <w:spacing w:val="-2"/>
        </w:rPr>
        <w:t> </w:t>
      </w:r>
      <w:r>
        <w:rPr/>
        <w:t>be</w:t>
      </w:r>
      <w:r>
        <w:rPr>
          <w:spacing w:val="-3"/>
        </w:rPr>
        <w:t> </w:t>
      </w:r>
      <w:r>
        <w:rPr/>
        <w:t>aware</w:t>
      </w:r>
      <w:r>
        <w:rPr>
          <w:spacing w:val="-4"/>
        </w:rPr>
        <w:t> </w:t>
      </w:r>
      <w:r>
        <w:rPr/>
        <w:t>that</w:t>
      </w:r>
      <w:r>
        <w:rPr>
          <w:spacing w:val="-2"/>
        </w:rPr>
        <w:t> </w:t>
      </w:r>
      <w:r>
        <w:rPr/>
        <w:t>with</w:t>
      </w:r>
      <w:r>
        <w:rPr>
          <w:spacing w:val="-2"/>
        </w:rPr>
        <w:t> </w:t>
      </w:r>
      <w:r>
        <w:rPr/>
        <w:t>the</w:t>
      </w:r>
      <w:r>
        <w:rPr>
          <w:spacing w:val="-3"/>
        </w:rPr>
        <w:t> </w:t>
      </w:r>
      <w:r>
        <w:rPr/>
        <w:t>publication</w:t>
      </w:r>
      <w:r>
        <w:rPr>
          <w:spacing w:val="-2"/>
        </w:rPr>
        <w:t> </w:t>
      </w:r>
      <w:r>
        <w:rPr/>
        <w:t>of</w:t>
      </w:r>
      <w:r>
        <w:rPr>
          <w:spacing w:val="-3"/>
        </w:rPr>
        <w:t> </w:t>
      </w:r>
      <w:r>
        <w:rPr/>
        <w:t>the</w:t>
      </w:r>
      <w:r>
        <w:rPr>
          <w:spacing w:val="-3"/>
        </w:rPr>
        <w:t> </w:t>
      </w:r>
      <w:r>
        <w:rPr/>
        <w:t>final</w:t>
      </w:r>
      <w:r>
        <w:rPr>
          <w:spacing w:val="-2"/>
        </w:rPr>
        <w:t> </w:t>
      </w:r>
      <w:r>
        <w:rPr/>
        <w:t>rule,</w:t>
      </w:r>
      <w:r>
        <w:rPr>
          <w:spacing w:val="-2"/>
        </w:rPr>
        <w:t> </w:t>
      </w:r>
      <w:r>
        <w:rPr/>
        <w:t>OI</w:t>
      </w:r>
      <w:r>
        <w:rPr>
          <w:spacing w:val="-4"/>
        </w:rPr>
        <w:t> </w:t>
      </w:r>
      <w:r>
        <w:rPr/>
        <w:t>families</w:t>
      </w:r>
      <w:r>
        <w:rPr>
          <w:spacing w:val="-2"/>
        </w:rPr>
        <w:t> </w:t>
      </w:r>
      <w:r>
        <w:rPr/>
        <w:t>that</w:t>
      </w:r>
      <w:r>
        <w:rPr>
          <w:spacing w:val="-2"/>
        </w:rPr>
        <w:t> </w:t>
      </w:r>
      <w:r>
        <w:rPr/>
        <w:t>have</w:t>
      </w:r>
      <w:r>
        <w:rPr>
          <w:spacing w:val="-4"/>
        </w:rPr>
        <w:t> </w:t>
      </w:r>
      <w:r>
        <w:rPr/>
        <w:t>completed the 24 consecutive month grace period under the old notification requirements do not get a new grace period.</w:t>
      </w:r>
    </w:p>
    <w:p>
      <w:pPr>
        <w:pStyle w:val="BodyText"/>
        <w:spacing w:before="7"/>
        <w:rPr>
          <w:sz w:val="31"/>
        </w:rPr>
      </w:pPr>
    </w:p>
    <w:p>
      <w:pPr>
        <w:pStyle w:val="BodyText"/>
        <w:spacing w:before="1"/>
        <w:ind w:left="120"/>
      </w:pPr>
      <w:r>
        <w:rPr/>
        <w:t>The</w:t>
      </w:r>
      <w:r>
        <w:rPr>
          <w:spacing w:val="-4"/>
        </w:rPr>
        <w:t> </w:t>
      </w:r>
      <w:r>
        <w:rPr/>
        <w:t>required</w:t>
      </w:r>
      <w:r>
        <w:rPr>
          <w:spacing w:val="-1"/>
        </w:rPr>
        <w:t> </w:t>
      </w:r>
      <w:r>
        <w:rPr/>
        <w:t>notices</w:t>
      </w:r>
      <w:r>
        <w:rPr>
          <w:spacing w:val="-1"/>
        </w:rPr>
        <w:t> </w:t>
      </w:r>
      <w:r>
        <w:rPr/>
        <w:t>under</w:t>
      </w:r>
      <w:r>
        <w:rPr>
          <w:spacing w:val="-2"/>
        </w:rPr>
        <w:t> </w:t>
      </w:r>
      <w:r>
        <w:rPr/>
        <w:t>the</w:t>
      </w:r>
      <w:r>
        <w:rPr>
          <w:spacing w:val="-2"/>
        </w:rPr>
        <w:t> </w:t>
      </w:r>
      <w:r>
        <w:rPr/>
        <w:t>final</w:t>
      </w:r>
      <w:r>
        <w:rPr>
          <w:spacing w:val="-1"/>
        </w:rPr>
        <w:t> </w:t>
      </w:r>
      <w:r>
        <w:rPr/>
        <w:t>rule</w:t>
      </w:r>
      <w:r>
        <w:rPr>
          <w:spacing w:val="-3"/>
        </w:rPr>
        <w:t> </w:t>
      </w:r>
      <w:r>
        <w:rPr/>
        <w:t>are</w:t>
      </w:r>
      <w:r>
        <w:rPr>
          <w:spacing w:val="-2"/>
        </w:rPr>
        <w:t> </w:t>
      </w:r>
      <w:r>
        <w:rPr/>
        <w:t>as</w:t>
      </w:r>
      <w:r>
        <w:rPr>
          <w:spacing w:val="-1"/>
        </w:rPr>
        <w:t> </w:t>
      </w:r>
      <w:r>
        <w:rPr>
          <w:spacing w:val="-2"/>
        </w:rPr>
        <w:t>follows:</w:t>
      </w:r>
    </w:p>
    <w:p>
      <w:pPr>
        <w:pStyle w:val="ListParagraph"/>
        <w:numPr>
          <w:ilvl w:val="0"/>
          <w:numId w:val="3"/>
        </w:numPr>
        <w:tabs>
          <w:tab w:pos="839" w:val="left" w:leader="none"/>
          <w:tab w:pos="840" w:val="left" w:leader="none"/>
        </w:tabs>
        <w:spacing w:line="237" w:lineRule="auto" w:before="45" w:after="0"/>
        <w:ind w:left="840" w:right="1238" w:hanging="488"/>
        <w:jc w:val="left"/>
        <w:rPr>
          <w:sz w:val="24"/>
        </w:rPr>
      </w:pPr>
      <w:r>
        <w:rPr>
          <w:sz w:val="24"/>
        </w:rPr>
        <w:t>In</w:t>
      </w:r>
      <w:r>
        <w:rPr>
          <w:spacing w:val="-1"/>
          <w:sz w:val="24"/>
        </w:rPr>
        <w:t> </w:t>
      </w:r>
      <w:r>
        <w:rPr>
          <w:sz w:val="24"/>
        </w:rPr>
        <w:t>accordance</w:t>
      </w:r>
      <w:r>
        <w:rPr>
          <w:spacing w:val="-3"/>
          <w:sz w:val="24"/>
        </w:rPr>
        <w:t> </w:t>
      </w:r>
      <w:r>
        <w:rPr>
          <w:sz w:val="24"/>
        </w:rPr>
        <w:t>with</w:t>
      </w:r>
      <w:r>
        <w:rPr>
          <w:spacing w:val="-2"/>
          <w:sz w:val="24"/>
        </w:rPr>
        <w:t> </w:t>
      </w:r>
      <w:r>
        <w:rPr>
          <w:sz w:val="24"/>
        </w:rPr>
        <w:t>24</w:t>
      </w:r>
      <w:r>
        <w:rPr>
          <w:spacing w:val="-3"/>
          <w:sz w:val="24"/>
        </w:rPr>
        <w:t> </w:t>
      </w:r>
      <w:r>
        <w:rPr>
          <w:sz w:val="24"/>
        </w:rPr>
        <w:t>CFR</w:t>
      </w:r>
      <w:r>
        <w:rPr>
          <w:spacing w:val="-2"/>
          <w:sz w:val="24"/>
        </w:rPr>
        <w:t> </w:t>
      </w:r>
      <w:r>
        <w:rPr>
          <w:sz w:val="24"/>
        </w:rPr>
        <w:t>960.507(c)(1),</w:t>
      </w:r>
      <w:r>
        <w:rPr>
          <w:spacing w:val="-3"/>
          <w:sz w:val="24"/>
        </w:rPr>
        <w:t> </w:t>
      </w:r>
      <w:r>
        <w:rPr>
          <w:sz w:val="24"/>
        </w:rPr>
        <w:t>the</w:t>
      </w:r>
      <w:r>
        <w:rPr>
          <w:spacing w:val="-3"/>
          <w:sz w:val="24"/>
        </w:rPr>
        <w:t> </w:t>
      </w:r>
      <w:r>
        <w:rPr>
          <w:sz w:val="24"/>
        </w:rPr>
        <w:t>PHA</w:t>
      </w:r>
      <w:r>
        <w:rPr>
          <w:spacing w:val="-3"/>
          <w:sz w:val="24"/>
        </w:rPr>
        <w:t> </w:t>
      </w:r>
      <w:r>
        <w:rPr>
          <w:sz w:val="24"/>
        </w:rPr>
        <w:t>must</w:t>
      </w:r>
      <w:r>
        <w:rPr>
          <w:spacing w:val="-2"/>
          <w:sz w:val="24"/>
        </w:rPr>
        <w:t> </w:t>
      </w:r>
      <w:r>
        <w:rPr>
          <w:sz w:val="24"/>
        </w:rPr>
        <w:t>provide</w:t>
      </w:r>
      <w:r>
        <w:rPr>
          <w:spacing w:val="-4"/>
          <w:sz w:val="24"/>
        </w:rPr>
        <w:t> </w:t>
      </w:r>
      <w:r>
        <w:rPr>
          <w:sz w:val="24"/>
        </w:rPr>
        <w:t>written</w:t>
      </w:r>
      <w:r>
        <w:rPr>
          <w:spacing w:val="-1"/>
          <w:sz w:val="24"/>
        </w:rPr>
        <w:t> </w:t>
      </w:r>
      <w:r>
        <w:rPr>
          <w:sz w:val="24"/>
        </w:rPr>
        <w:t>notice</w:t>
      </w:r>
      <w:r>
        <w:rPr>
          <w:spacing w:val="-5"/>
          <w:sz w:val="24"/>
        </w:rPr>
        <w:t> </w:t>
      </w:r>
      <w:r>
        <w:rPr>
          <w:sz w:val="24"/>
        </w:rPr>
        <w:t>to</w:t>
      </w:r>
      <w:r>
        <w:rPr>
          <w:spacing w:val="-3"/>
          <w:sz w:val="24"/>
        </w:rPr>
        <w:t> </w:t>
      </w:r>
      <w:r>
        <w:rPr>
          <w:sz w:val="24"/>
        </w:rPr>
        <w:t>the</w:t>
      </w:r>
      <w:r>
        <w:rPr>
          <w:spacing w:val="-5"/>
          <w:sz w:val="24"/>
        </w:rPr>
        <w:t> </w:t>
      </w:r>
      <w:r>
        <w:rPr>
          <w:sz w:val="24"/>
        </w:rPr>
        <w:t>OI family no later than 30 days after the PHA’s initial determination, stating that the family has exceeded the OI limit as determined pursuant to an annual reexamination or an interim reexamination. The notice must state that:</w:t>
      </w:r>
    </w:p>
    <w:p>
      <w:pPr>
        <w:pStyle w:val="ListParagraph"/>
        <w:numPr>
          <w:ilvl w:val="1"/>
          <w:numId w:val="3"/>
        </w:numPr>
        <w:tabs>
          <w:tab w:pos="1560" w:val="left" w:leader="none"/>
        </w:tabs>
        <w:spacing w:line="272" w:lineRule="exact" w:before="0" w:after="0"/>
        <w:ind w:left="1560" w:right="0" w:hanging="360"/>
        <w:jc w:val="left"/>
        <w:rPr>
          <w:sz w:val="24"/>
        </w:rPr>
      </w:pPr>
      <w:r>
        <w:rPr>
          <w:sz w:val="24"/>
        </w:rPr>
        <w:t>The</w:t>
      </w:r>
      <w:r>
        <w:rPr>
          <w:spacing w:val="-6"/>
          <w:sz w:val="24"/>
        </w:rPr>
        <w:t> </w:t>
      </w:r>
      <w:r>
        <w:rPr>
          <w:sz w:val="24"/>
        </w:rPr>
        <w:t>family</w:t>
      </w:r>
      <w:r>
        <w:rPr>
          <w:spacing w:val="-4"/>
          <w:sz w:val="24"/>
        </w:rPr>
        <w:t> </w:t>
      </w:r>
      <w:r>
        <w:rPr>
          <w:sz w:val="24"/>
        </w:rPr>
        <w:t>has</w:t>
      </w:r>
      <w:r>
        <w:rPr>
          <w:spacing w:val="-4"/>
          <w:sz w:val="24"/>
        </w:rPr>
        <w:t> </w:t>
      </w:r>
      <w:r>
        <w:rPr>
          <w:sz w:val="24"/>
        </w:rPr>
        <w:t>exceeded</w:t>
      </w:r>
      <w:r>
        <w:rPr>
          <w:spacing w:val="-1"/>
          <w:sz w:val="24"/>
        </w:rPr>
        <w:t> </w:t>
      </w:r>
      <w:r>
        <w:rPr>
          <w:sz w:val="24"/>
        </w:rPr>
        <w:t>the</w:t>
      </w:r>
      <w:r>
        <w:rPr>
          <w:spacing w:val="-4"/>
          <w:sz w:val="24"/>
        </w:rPr>
        <w:t> </w:t>
      </w:r>
      <w:r>
        <w:rPr>
          <w:sz w:val="24"/>
        </w:rPr>
        <w:t>over-income</w:t>
      </w:r>
      <w:r>
        <w:rPr>
          <w:spacing w:val="-6"/>
          <w:sz w:val="24"/>
        </w:rPr>
        <w:t> </w:t>
      </w:r>
      <w:r>
        <w:rPr>
          <w:sz w:val="24"/>
        </w:rPr>
        <w:t>limit,</w:t>
      </w:r>
      <w:r>
        <w:rPr>
          <w:spacing w:val="-3"/>
          <w:sz w:val="24"/>
        </w:rPr>
        <w:t> </w:t>
      </w:r>
      <w:r>
        <w:rPr>
          <w:spacing w:val="-5"/>
          <w:sz w:val="24"/>
        </w:rPr>
        <w:t>and</w:t>
      </w:r>
    </w:p>
    <w:p>
      <w:pPr>
        <w:pStyle w:val="ListParagraph"/>
        <w:numPr>
          <w:ilvl w:val="1"/>
          <w:numId w:val="3"/>
        </w:numPr>
        <w:tabs>
          <w:tab w:pos="1560" w:val="left" w:leader="none"/>
        </w:tabs>
        <w:spacing w:line="237" w:lineRule="auto" w:before="1" w:after="0"/>
        <w:ind w:left="1560" w:right="1367" w:hanging="360"/>
        <w:jc w:val="left"/>
        <w:rPr>
          <w:sz w:val="24"/>
        </w:rPr>
      </w:pPr>
      <w:r>
        <w:rPr>
          <w:sz w:val="24"/>
        </w:rPr>
        <w:t>Continuing to exceed the over-income</w:t>
      </w:r>
      <w:r>
        <w:rPr>
          <w:spacing w:val="-1"/>
          <w:sz w:val="24"/>
        </w:rPr>
        <w:t> </w:t>
      </w:r>
      <w:r>
        <w:rPr>
          <w:sz w:val="24"/>
        </w:rPr>
        <w:t>limit for</w:t>
      </w:r>
      <w:r>
        <w:rPr>
          <w:spacing w:val="-1"/>
          <w:sz w:val="24"/>
        </w:rPr>
        <w:t> </w:t>
      </w:r>
      <w:r>
        <w:rPr>
          <w:sz w:val="24"/>
        </w:rPr>
        <w:t>a</w:t>
      </w:r>
      <w:r>
        <w:rPr>
          <w:spacing w:val="-1"/>
          <w:sz w:val="24"/>
        </w:rPr>
        <w:t> </w:t>
      </w:r>
      <w:r>
        <w:rPr>
          <w:sz w:val="24"/>
        </w:rPr>
        <w:t>total of</w:t>
      </w:r>
      <w:r>
        <w:rPr>
          <w:spacing w:val="-1"/>
          <w:sz w:val="24"/>
        </w:rPr>
        <w:t> </w:t>
      </w:r>
      <w:r>
        <w:rPr>
          <w:sz w:val="24"/>
        </w:rPr>
        <w:t>24 consecutive</w:t>
      </w:r>
      <w:r>
        <w:rPr>
          <w:spacing w:val="-1"/>
          <w:sz w:val="24"/>
        </w:rPr>
        <w:t> </w:t>
      </w:r>
      <w:r>
        <w:rPr>
          <w:sz w:val="24"/>
        </w:rPr>
        <w:t>months will</w:t>
      </w:r>
      <w:r>
        <w:rPr>
          <w:spacing w:val="-4"/>
          <w:sz w:val="24"/>
        </w:rPr>
        <w:t> </w:t>
      </w:r>
      <w:r>
        <w:rPr>
          <w:sz w:val="24"/>
        </w:rPr>
        <w:t>result</w:t>
      </w:r>
      <w:r>
        <w:rPr>
          <w:spacing w:val="-4"/>
          <w:sz w:val="24"/>
        </w:rPr>
        <w:t> </w:t>
      </w:r>
      <w:r>
        <w:rPr>
          <w:sz w:val="24"/>
        </w:rPr>
        <w:t>in</w:t>
      </w:r>
      <w:r>
        <w:rPr>
          <w:spacing w:val="-4"/>
          <w:sz w:val="24"/>
        </w:rPr>
        <w:t> </w:t>
      </w:r>
      <w:r>
        <w:rPr>
          <w:sz w:val="24"/>
        </w:rPr>
        <w:t>the</w:t>
      </w:r>
      <w:r>
        <w:rPr>
          <w:spacing w:val="-5"/>
          <w:sz w:val="24"/>
        </w:rPr>
        <w:t> </w:t>
      </w:r>
      <w:r>
        <w:rPr>
          <w:sz w:val="24"/>
        </w:rPr>
        <w:t>PHA</w:t>
      </w:r>
      <w:r>
        <w:rPr>
          <w:spacing w:val="-5"/>
          <w:sz w:val="24"/>
        </w:rPr>
        <w:t> </w:t>
      </w:r>
      <w:r>
        <w:rPr>
          <w:sz w:val="24"/>
        </w:rPr>
        <w:t>following</w:t>
      </w:r>
      <w:r>
        <w:rPr>
          <w:spacing w:val="-4"/>
          <w:sz w:val="24"/>
        </w:rPr>
        <w:t> </w:t>
      </w:r>
      <w:r>
        <w:rPr>
          <w:sz w:val="24"/>
        </w:rPr>
        <w:t>its</w:t>
      </w:r>
      <w:r>
        <w:rPr>
          <w:spacing w:val="-4"/>
          <w:sz w:val="24"/>
        </w:rPr>
        <w:t> </w:t>
      </w:r>
      <w:r>
        <w:rPr>
          <w:sz w:val="24"/>
        </w:rPr>
        <w:t>continued</w:t>
      </w:r>
      <w:r>
        <w:rPr>
          <w:spacing w:val="-4"/>
          <w:sz w:val="24"/>
        </w:rPr>
        <w:t> </w:t>
      </w:r>
      <w:r>
        <w:rPr>
          <w:sz w:val="24"/>
        </w:rPr>
        <w:t>occupancy</w:t>
      </w:r>
      <w:r>
        <w:rPr>
          <w:spacing w:val="-4"/>
          <w:sz w:val="24"/>
        </w:rPr>
        <w:t> </w:t>
      </w:r>
      <w:r>
        <w:rPr>
          <w:sz w:val="24"/>
        </w:rPr>
        <w:t>policy</w:t>
      </w:r>
      <w:r>
        <w:rPr>
          <w:spacing w:val="-4"/>
          <w:sz w:val="24"/>
        </w:rPr>
        <w:t> </w:t>
      </w:r>
      <w:r>
        <w:rPr>
          <w:sz w:val="24"/>
        </w:rPr>
        <w:t>for</w:t>
      </w:r>
      <w:r>
        <w:rPr>
          <w:spacing w:val="-5"/>
          <w:sz w:val="24"/>
        </w:rPr>
        <w:t> </w:t>
      </w:r>
      <w:r>
        <w:rPr>
          <w:sz w:val="24"/>
        </w:rPr>
        <w:t>over-income families in accordance with 24 CFR 960.507(d). See 24 CFR 960.507(c)(1) for more information.</w:t>
      </w:r>
    </w:p>
    <w:p>
      <w:pPr>
        <w:pStyle w:val="ListParagraph"/>
        <w:numPr>
          <w:ilvl w:val="0"/>
          <w:numId w:val="3"/>
        </w:numPr>
        <w:tabs>
          <w:tab w:pos="839" w:val="left" w:leader="none"/>
          <w:tab w:pos="840" w:val="left" w:leader="none"/>
        </w:tabs>
        <w:spacing w:line="237" w:lineRule="auto" w:before="0" w:after="0"/>
        <w:ind w:left="840" w:right="1492" w:hanging="555"/>
        <w:jc w:val="left"/>
        <w:rPr>
          <w:sz w:val="24"/>
        </w:rPr>
      </w:pPr>
      <w:r>
        <w:rPr>
          <w:sz w:val="24"/>
        </w:rPr>
        <w:t>If</w:t>
      </w:r>
      <w:r>
        <w:rPr>
          <w:spacing w:val="-4"/>
          <w:sz w:val="24"/>
        </w:rPr>
        <w:t> </w:t>
      </w:r>
      <w:r>
        <w:rPr>
          <w:sz w:val="24"/>
        </w:rPr>
        <w:t>the</w:t>
      </w:r>
      <w:r>
        <w:rPr>
          <w:spacing w:val="-5"/>
          <w:sz w:val="24"/>
        </w:rPr>
        <w:t> </w:t>
      </w:r>
      <w:r>
        <w:rPr>
          <w:sz w:val="24"/>
        </w:rPr>
        <w:t>PHA</w:t>
      </w:r>
      <w:r>
        <w:rPr>
          <w:spacing w:val="-4"/>
          <w:sz w:val="24"/>
        </w:rPr>
        <w:t> </w:t>
      </w:r>
      <w:r>
        <w:rPr>
          <w:sz w:val="24"/>
        </w:rPr>
        <w:t>determines</w:t>
      </w:r>
      <w:r>
        <w:rPr>
          <w:spacing w:val="-3"/>
          <w:sz w:val="24"/>
        </w:rPr>
        <w:t> </w:t>
      </w:r>
      <w:r>
        <w:rPr>
          <w:sz w:val="24"/>
        </w:rPr>
        <w:t>the</w:t>
      </w:r>
      <w:r>
        <w:rPr>
          <w:spacing w:val="-5"/>
          <w:sz w:val="24"/>
        </w:rPr>
        <w:t> </w:t>
      </w:r>
      <w:r>
        <w:rPr>
          <w:sz w:val="24"/>
        </w:rPr>
        <w:t>family</w:t>
      </w:r>
      <w:r>
        <w:rPr>
          <w:spacing w:val="-3"/>
          <w:sz w:val="24"/>
        </w:rPr>
        <w:t> </w:t>
      </w:r>
      <w:r>
        <w:rPr>
          <w:sz w:val="24"/>
        </w:rPr>
        <w:t>has</w:t>
      </w:r>
      <w:r>
        <w:rPr>
          <w:spacing w:val="-3"/>
          <w:sz w:val="24"/>
        </w:rPr>
        <w:t> </w:t>
      </w:r>
      <w:r>
        <w:rPr>
          <w:sz w:val="24"/>
        </w:rPr>
        <w:t>continued</w:t>
      </w:r>
      <w:r>
        <w:rPr>
          <w:spacing w:val="-3"/>
          <w:sz w:val="24"/>
        </w:rPr>
        <w:t> </w:t>
      </w:r>
      <w:r>
        <w:rPr>
          <w:sz w:val="24"/>
        </w:rPr>
        <w:t>to</w:t>
      </w:r>
      <w:r>
        <w:rPr>
          <w:spacing w:val="-1"/>
          <w:sz w:val="24"/>
        </w:rPr>
        <w:t> </w:t>
      </w:r>
      <w:r>
        <w:rPr>
          <w:sz w:val="24"/>
        </w:rPr>
        <w:t>exceed</w:t>
      </w:r>
      <w:r>
        <w:rPr>
          <w:spacing w:val="-3"/>
          <w:sz w:val="24"/>
        </w:rPr>
        <w:t> </w:t>
      </w:r>
      <w:r>
        <w:rPr>
          <w:sz w:val="24"/>
        </w:rPr>
        <w:t>the</w:t>
      </w:r>
      <w:r>
        <w:rPr>
          <w:spacing w:val="-4"/>
          <w:sz w:val="24"/>
        </w:rPr>
        <w:t> </w:t>
      </w:r>
      <w:r>
        <w:rPr>
          <w:sz w:val="24"/>
        </w:rPr>
        <w:t>over-income</w:t>
      </w:r>
      <w:r>
        <w:rPr>
          <w:spacing w:val="-2"/>
          <w:sz w:val="24"/>
        </w:rPr>
        <w:t> </w:t>
      </w:r>
      <w:r>
        <w:rPr>
          <w:sz w:val="24"/>
        </w:rPr>
        <w:t>limit</w:t>
      </w:r>
      <w:r>
        <w:rPr>
          <w:spacing w:val="-3"/>
          <w:sz w:val="24"/>
        </w:rPr>
        <w:t> </w:t>
      </w:r>
      <w:r>
        <w:rPr>
          <w:sz w:val="24"/>
        </w:rPr>
        <w:t>for</w:t>
      </w:r>
      <w:r>
        <w:rPr>
          <w:spacing w:val="-4"/>
          <w:sz w:val="24"/>
        </w:rPr>
        <w:t> </w:t>
      </w:r>
      <w:r>
        <w:rPr>
          <w:sz w:val="24"/>
        </w:rPr>
        <w:t>12 consecutive months after the initial OI determination, the PHA must provide written notification pursuant to 24 CFR 960.507(c)(2) no later than 30 days after the PHA’s income examination that led to the 12-month over-income determination. The notice must state that:</w:t>
      </w:r>
    </w:p>
    <w:p>
      <w:pPr>
        <w:pStyle w:val="ListParagraph"/>
        <w:numPr>
          <w:ilvl w:val="1"/>
          <w:numId w:val="3"/>
        </w:numPr>
        <w:tabs>
          <w:tab w:pos="1560" w:val="left" w:leader="none"/>
        </w:tabs>
        <w:spacing w:line="235" w:lineRule="auto" w:before="1" w:after="0"/>
        <w:ind w:left="1560" w:right="1816" w:hanging="360"/>
        <w:jc w:val="left"/>
        <w:rPr>
          <w:sz w:val="24"/>
        </w:rPr>
      </w:pPr>
      <w:r>
        <w:rPr>
          <w:sz w:val="24"/>
        </w:rPr>
        <w:t>The</w:t>
      </w:r>
      <w:r>
        <w:rPr>
          <w:spacing w:val="-6"/>
          <w:sz w:val="24"/>
        </w:rPr>
        <w:t> </w:t>
      </w:r>
      <w:r>
        <w:rPr>
          <w:sz w:val="24"/>
        </w:rPr>
        <w:t>family’s</w:t>
      </w:r>
      <w:r>
        <w:rPr>
          <w:spacing w:val="-4"/>
          <w:sz w:val="24"/>
        </w:rPr>
        <w:t> </w:t>
      </w:r>
      <w:r>
        <w:rPr>
          <w:sz w:val="24"/>
        </w:rPr>
        <w:t>income</w:t>
      </w:r>
      <w:r>
        <w:rPr>
          <w:spacing w:val="-5"/>
          <w:sz w:val="24"/>
        </w:rPr>
        <w:t> </w:t>
      </w:r>
      <w:r>
        <w:rPr>
          <w:sz w:val="24"/>
        </w:rPr>
        <w:t>has</w:t>
      </w:r>
      <w:r>
        <w:rPr>
          <w:spacing w:val="-4"/>
          <w:sz w:val="24"/>
        </w:rPr>
        <w:t> </w:t>
      </w:r>
      <w:r>
        <w:rPr>
          <w:sz w:val="24"/>
        </w:rPr>
        <w:t>exceeded</w:t>
      </w:r>
      <w:r>
        <w:rPr>
          <w:spacing w:val="-4"/>
          <w:sz w:val="24"/>
        </w:rPr>
        <w:t> </w:t>
      </w:r>
      <w:r>
        <w:rPr>
          <w:sz w:val="24"/>
        </w:rPr>
        <w:t>the</w:t>
      </w:r>
      <w:r>
        <w:rPr>
          <w:spacing w:val="-6"/>
          <w:sz w:val="24"/>
        </w:rPr>
        <w:t> </w:t>
      </w:r>
      <w:r>
        <w:rPr>
          <w:sz w:val="24"/>
        </w:rPr>
        <w:t>over-income</w:t>
      </w:r>
      <w:r>
        <w:rPr>
          <w:spacing w:val="-5"/>
          <w:sz w:val="24"/>
        </w:rPr>
        <w:t> </w:t>
      </w:r>
      <w:r>
        <w:rPr>
          <w:sz w:val="24"/>
        </w:rPr>
        <w:t>limit</w:t>
      </w:r>
      <w:r>
        <w:rPr>
          <w:spacing w:val="-4"/>
          <w:sz w:val="24"/>
        </w:rPr>
        <w:t> </w:t>
      </w:r>
      <w:r>
        <w:rPr>
          <w:sz w:val="24"/>
        </w:rPr>
        <w:t>for</w:t>
      </w:r>
      <w:r>
        <w:rPr>
          <w:spacing w:val="-5"/>
          <w:sz w:val="24"/>
        </w:rPr>
        <w:t> </w:t>
      </w:r>
      <w:r>
        <w:rPr>
          <w:sz w:val="24"/>
        </w:rPr>
        <w:t>12</w:t>
      </w:r>
      <w:r>
        <w:rPr>
          <w:spacing w:val="-4"/>
          <w:sz w:val="24"/>
        </w:rPr>
        <w:t> </w:t>
      </w:r>
      <w:r>
        <w:rPr>
          <w:sz w:val="24"/>
        </w:rPr>
        <w:t>consecutive months, and</w:t>
      </w:r>
    </w:p>
    <w:p>
      <w:pPr>
        <w:pStyle w:val="ListParagraph"/>
        <w:numPr>
          <w:ilvl w:val="1"/>
          <w:numId w:val="3"/>
        </w:numPr>
        <w:tabs>
          <w:tab w:pos="1560" w:val="left" w:leader="none"/>
        </w:tabs>
        <w:spacing w:line="237" w:lineRule="auto" w:before="2" w:after="0"/>
        <w:ind w:left="1560" w:right="1333" w:hanging="360"/>
        <w:jc w:val="left"/>
        <w:rPr>
          <w:sz w:val="24"/>
        </w:rPr>
      </w:pPr>
      <w:r>
        <w:rPr>
          <w:sz w:val="24"/>
        </w:rPr>
        <w:t>Continuing to exceed the over-income limit for the next 12 consecutive months will result in the family either paying the higher alternative rent as a non-public housing</w:t>
      </w:r>
      <w:r>
        <w:rPr>
          <w:spacing w:val="-4"/>
          <w:sz w:val="24"/>
        </w:rPr>
        <w:t> </w:t>
      </w:r>
      <w:r>
        <w:rPr>
          <w:sz w:val="24"/>
        </w:rPr>
        <w:t>over-income</w:t>
      </w:r>
      <w:r>
        <w:rPr>
          <w:spacing w:val="-5"/>
          <w:sz w:val="24"/>
        </w:rPr>
        <w:t> </w:t>
      </w:r>
      <w:r>
        <w:rPr>
          <w:sz w:val="24"/>
        </w:rPr>
        <w:t>(NPHOI)</w:t>
      </w:r>
      <w:r>
        <w:rPr>
          <w:spacing w:val="-5"/>
          <w:sz w:val="24"/>
        </w:rPr>
        <w:t> </w:t>
      </w:r>
      <w:r>
        <w:rPr>
          <w:sz w:val="24"/>
        </w:rPr>
        <w:t>family</w:t>
      </w:r>
      <w:r>
        <w:rPr>
          <w:spacing w:val="-4"/>
          <w:sz w:val="24"/>
        </w:rPr>
        <w:t> </w:t>
      </w:r>
      <w:r>
        <w:rPr>
          <w:sz w:val="24"/>
        </w:rPr>
        <w:t>or</w:t>
      </w:r>
      <w:r>
        <w:rPr>
          <w:spacing w:val="-5"/>
          <w:sz w:val="24"/>
        </w:rPr>
        <w:t> </w:t>
      </w:r>
      <w:r>
        <w:rPr>
          <w:sz w:val="24"/>
        </w:rPr>
        <w:t>termination</w:t>
      </w:r>
      <w:r>
        <w:rPr>
          <w:spacing w:val="-4"/>
          <w:sz w:val="24"/>
        </w:rPr>
        <w:t> </w:t>
      </w:r>
      <w:r>
        <w:rPr>
          <w:sz w:val="24"/>
        </w:rPr>
        <w:t>of</w:t>
      </w:r>
      <w:r>
        <w:rPr>
          <w:spacing w:val="-5"/>
          <w:sz w:val="24"/>
        </w:rPr>
        <w:t> </w:t>
      </w:r>
      <w:r>
        <w:rPr>
          <w:sz w:val="24"/>
        </w:rPr>
        <w:t>their</w:t>
      </w:r>
      <w:r>
        <w:rPr>
          <w:spacing w:val="-5"/>
          <w:sz w:val="24"/>
        </w:rPr>
        <w:t> </w:t>
      </w:r>
      <w:r>
        <w:rPr>
          <w:sz w:val="24"/>
        </w:rPr>
        <w:t>tenancy,</w:t>
      </w:r>
      <w:r>
        <w:rPr>
          <w:spacing w:val="-4"/>
          <w:sz w:val="24"/>
        </w:rPr>
        <w:t> </w:t>
      </w:r>
      <w:r>
        <w:rPr>
          <w:sz w:val="24"/>
        </w:rPr>
        <w:t>depending on the PHA’s continued occupancy policies under 24 CFR 960.507(d). This notice</w:t>
      </w:r>
      <w:r>
        <w:rPr>
          <w:spacing w:val="-4"/>
          <w:sz w:val="24"/>
        </w:rPr>
        <w:t> </w:t>
      </w:r>
      <w:r>
        <w:rPr>
          <w:sz w:val="24"/>
        </w:rPr>
        <w:t>should</w:t>
      </w:r>
      <w:r>
        <w:rPr>
          <w:spacing w:val="-3"/>
          <w:sz w:val="24"/>
        </w:rPr>
        <w:t> </w:t>
      </w:r>
      <w:r>
        <w:rPr>
          <w:sz w:val="24"/>
        </w:rPr>
        <w:t>include</w:t>
      </w:r>
      <w:r>
        <w:rPr>
          <w:spacing w:val="-4"/>
          <w:sz w:val="24"/>
        </w:rPr>
        <w:t> </w:t>
      </w:r>
      <w:r>
        <w:rPr>
          <w:sz w:val="24"/>
        </w:rPr>
        <w:t>the</w:t>
      </w:r>
      <w:r>
        <w:rPr>
          <w:spacing w:val="-2"/>
          <w:sz w:val="24"/>
        </w:rPr>
        <w:t> </w:t>
      </w:r>
      <w:r>
        <w:rPr>
          <w:sz w:val="24"/>
        </w:rPr>
        <w:t>estimated</w:t>
      </w:r>
      <w:r>
        <w:rPr>
          <w:spacing w:val="-3"/>
          <w:sz w:val="24"/>
        </w:rPr>
        <w:t> </w:t>
      </w:r>
      <w:r>
        <w:rPr>
          <w:sz w:val="24"/>
        </w:rPr>
        <w:t>alternative</w:t>
      </w:r>
      <w:r>
        <w:rPr>
          <w:spacing w:val="-2"/>
          <w:sz w:val="24"/>
        </w:rPr>
        <w:t> </w:t>
      </w:r>
      <w:r>
        <w:rPr>
          <w:sz w:val="24"/>
        </w:rPr>
        <w:t>rent</w:t>
      </w:r>
      <w:r>
        <w:rPr>
          <w:spacing w:val="-3"/>
          <w:sz w:val="24"/>
        </w:rPr>
        <w:t> </w:t>
      </w:r>
      <w:r>
        <w:rPr>
          <w:sz w:val="24"/>
        </w:rPr>
        <w:t>where</w:t>
      </w:r>
      <w:r>
        <w:rPr>
          <w:spacing w:val="-4"/>
          <w:sz w:val="24"/>
        </w:rPr>
        <w:t> </w:t>
      </w:r>
      <w:r>
        <w:rPr>
          <w:sz w:val="24"/>
        </w:rPr>
        <w:t>applicable</w:t>
      </w:r>
      <w:r>
        <w:rPr>
          <w:spacing w:val="-4"/>
          <w:sz w:val="24"/>
        </w:rPr>
        <w:t> </w:t>
      </w:r>
      <w:r>
        <w:rPr>
          <w:sz w:val="24"/>
        </w:rPr>
        <w:t>(see</w:t>
      </w:r>
      <w:r>
        <w:rPr>
          <w:spacing w:val="-4"/>
          <w:sz w:val="24"/>
        </w:rPr>
        <w:t> </w:t>
      </w:r>
      <w:r>
        <w:rPr>
          <w:sz w:val="24"/>
        </w:rPr>
        <w:t>section 8 to determine the alternative rent).</w:t>
      </w:r>
      <w:r>
        <w:rPr>
          <w:spacing w:val="40"/>
          <w:sz w:val="24"/>
        </w:rPr>
        <w:t> </w:t>
      </w:r>
      <w:r>
        <w:rPr>
          <w:sz w:val="24"/>
        </w:rPr>
        <w:t>See 24 CFR 960.507(c)(2) for more </w:t>
      </w:r>
      <w:r>
        <w:rPr>
          <w:spacing w:val="-2"/>
          <w:sz w:val="24"/>
        </w:rPr>
        <w:t>information.</w:t>
      </w:r>
    </w:p>
    <w:p>
      <w:pPr>
        <w:pStyle w:val="ListParagraph"/>
        <w:numPr>
          <w:ilvl w:val="0"/>
          <w:numId w:val="3"/>
        </w:numPr>
        <w:tabs>
          <w:tab w:pos="839" w:val="left" w:leader="none"/>
          <w:tab w:pos="840" w:val="left" w:leader="none"/>
        </w:tabs>
        <w:spacing w:line="237" w:lineRule="auto" w:before="0" w:after="0"/>
        <w:ind w:left="840" w:right="1275" w:hanging="620"/>
        <w:jc w:val="left"/>
        <w:rPr>
          <w:sz w:val="24"/>
        </w:rPr>
      </w:pPr>
      <w:r>
        <w:rPr>
          <w:sz w:val="24"/>
        </w:rPr>
        <w:t>If the PHA determines the family has continued to exceed the over-income limit for 24 consecutive</w:t>
      </w:r>
      <w:r>
        <w:rPr>
          <w:spacing w:val="-4"/>
          <w:sz w:val="24"/>
        </w:rPr>
        <w:t> </w:t>
      </w:r>
      <w:r>
        <w:rPr>
          <w:sz w:val="24"/>
        </w:rPr>
        <w:t>months</w:t>
      </w:r>
      <w:r>
        <w:rPr>
          <w:spacing w:val="-3"/>
          <w:sz w:val="24"/>
        </w:rPr>
        <w:t> </w:t>
      </w:r>
      <w:r>
        <w:rPr>
          <w:sz w:val="24"/>
        </w:rPr>
        <w:t>after</w:t>
      </w:r>
      <w:r>
        <w:rPr>
          <w:spacing w:val="-2"/>
          <w:sz w:val="24"/>
        </w:rPr>
        <w:t> </w:t>
      </w:r>
      <w:r>
        <w:rPr>
          <w:sz w:val="24"/>
        </w:rPr>
        <w:t>the</w:t>
      </w:r>
      <w:r>
        <w:rPr>
          <w:spacing w:val="-4"/>
          <w:sz w:val="24"/>
        </w:rPr>
        <w:t> </w:t>
      </w:r>
      <w:r>
        <w:rPr>
          <w:sz w:val="24"/>
        </w:rPr>
        <w:t>initial</w:t>
      </w:r>
      <w:r>
        <w:rPr>
          <w:spacing w:val="-3"/>
          <w:sz w:val="24"/>
        </w:rPr>
        <w:t> </w:t>
      </w:r>
      <w:r>
        <w:rPr>
          <w:sz w:val="24"/>
        </w:rPr>
        <w:t>OI</w:t>
      </w:r>
      <w:r>
        <w:rPr>
          <w:spacing w:val="-7"/>
          <w:sz w:val="24"/>
        </w:rPr>
        <w:t> </w:t>
      </w:r>
      <w:r>
        <w:rPr>
          <w:sz w:val="24"/>
        </w:rPr>
        <w:t>determination,</w:t>
      </w:r>
      <w:r>
        <w:rPr>
          <w:spacing w:val="-3"/>
          <w:sz w:val="24"/>
        </w:rPr>
        <w:t> </w:t>
      </w:r>
      <w:r>
        <w:rPr>
          <w:sz w:val="24"/>
        </w:rPr>
        <w:t>then</w:t>
      </w:r>
      <w:r>
        <w:rPr>
          <w:spacing w:val="-3"/>
          <w:sz w:val="24"/>
        </w:rPr>
        <w:t> </w:t>
      </w:r>
      <w:r>
        <w:rPr>
          <w:sz w:val="24"/>
        </w:rPr>
        <w:t>the</w:t>
      </w:r>
      <w:r>
        <w:rPr>
          <w:spacing w:val="-5"/>
          <w:sz w:val="24"/>
        </w:rPr>
        <w:t> </w:t>
      </w:r>
      <w:r>
        <w:rPr>
          <w:sz w:val="24"/>
        </w:rPr>
        <w:t>PHA</w:t>
      </w:r>
      <w:r>
        <w:rPr>
          <w:spacing w:val="-4"/>
          <w:sz w:val="24"/>
        </w:rPr>
        <w:t> </w:t>
      </w:r>
      <w:r>
        <w:rPr>
          <w:sz w:val="24"/>
        </w:rPr>
        <w:t>must</w:t>
      </w:r>
      <w:r>
        <w:rPr>
          <w:spacing w:val="-2"/>
          <w:sz w:val="24"/>
        </w:rPr>
        <w:t> </w:t>
      </w:r>
      <w:r>
        <w:rPr>
          <w:sz w:val="24"/>
        </w:rPr>
        <w:t>provide</w:t>
      </w:r>
      <w:r>
        <w:rPr>
          <w:spacing w:val="-5"/>
          <w:sz w:val="24"/>
        </w:rPr>
        <w:t> </w:t>
      </w:r>
      <w:r>
        <w:rPr>
          <w:sz w:val="24"/>
        </w:rPr>
        <w:t>written notification pursuant to 24 CFR 960.507(c)(3) no later than 30 days after the PHA’s income examination that led to the 24-month over-income determination. The notice must state that:</w:t>
      </w:r>
    </w:p>
    <w:p>
      <w:pPr>
        <w:pStyle w:val="ListParagraph"/>
        <w:numPr>
          <w:ilvl w:val="1"/>
          <w:numId w:val="3"/>
        </w:numPr>
        <w:tabs>
          <w:tab w:pos="1560" w:val="left" w:leader="none"/>
        </w:tabs>
        <w:spacing w:line="272" w:lineRule="exact" w:before="0" w:after="0"/>
        <w:ind w:left="1560" w:right="0" w:hanging="360"/>
        <w:jc w:val="left"/>
        <w:rPr>
          <w:sz w:val="24"/>
        </w:rPr>
      </w:pPr>
      <w:r>
        <w:rPr>
          <w:sz w:val="24"/>
        </w:rPr>
        <w:t>The</w:t>
      </w:r>
      <w:r>
        <w:rPr>
          <w:spacing w:val="-6"/>
          <w:sz w:val="24"/>
        </w:rPr>
        <w:t> </w:t>
      </w:r>
      <w:r>
        <w:rPr>
          <w:sz w:val="24"/>
        </w:rPr>
        <w:t>family</w:t>
      </w:r>
      <w:r>
        <w:rPr>
          <w:spacing w:val="-3"/>
          <w:sz w:val="24"/>
        </w:rPr>
        <w:t> </w:t>
      </w:r>
      <w:r>
        <w:rPr>
          <w:sz w:val="24"/>
        </w:rPr>
        <w:t>has</w:t>
      </w:r>
      <w:r>
        <w:rPr>
          <w:spacing w:val="-3"/>
          <w:sz w:val="24"/>
        </w:rPr>
        <w:t> </w:t>
      </w:r>
      <w:r>
        <w:rPr>
          <w:sz w:val="24"/>
        </w:rPr>
        <w:t>exceeded</w:t>
      </w:r>
      <w:r>
        <w:rPr>
          <w:spacing w:val="-1"/>
          <w:sz w:val="24"/>
        </w:rPr>
        <w:t> </w:t>
      </w:r>
      <w:r>
        <w:rPr>
          <w:sz w:val="24"/>
        </w:rPr>
        <w:t>the</w:t>
      </w:r>
      <w:r>
        <w:rPr>
          <w:spacing w:val="-4"/>
          <w:sz w:val="24"/>
        </w:rPr>
        <w:t> </w:t>
      </w:r>
      <w:r>
        <w:rPr>
          <w:sz w:val="24"/>
        </w:rPr>
        <w:t>over-income</w:t>
      </w:r>
      <w:r>
        <w:rPr>
          <w:spacing w:val="-4"/>
          <w:sz w:val="24"/>
        </w:rPr>
        <w:t> </w:t>
      </w:r>
      <w:r>
        <w:rPr>
          <w:sz w:val="24"/>
        </w:rPr>
        <w:t>limit</w:t>
      </w:r>
      <w:r>
        <w:rPr>
          <w:spacing w:val="-3"/>
          <w:sz w:val="24"/>
        </w:rPr>
        <w:t> </w:t>
      </w:r>
      <w:r>
        <w:rPr>
          <w:sz w:val="24"/>
        </w:rPr>
        <w:t>for</w:t>
      </w:r>
      <w:r>
        <w:rPr>
          <w:spacing w:val="-4"/>
          <w:sz w:val="24"/>
        </w:rPr>
        <w:t> </w:t>
      </w:r>
      <w:r>
        <w:rPr>
          <w:sz w:val="24"/>
        </w:rPr>
        <w:t>24</w:t>
      </w:r>
      <w:r>
        <w:rPr>
          <w:spacing w:val="-3"/>
          <w:sz w:val="24"/>
        </w:rPr>
        <w:t> </w:t>
      </w:r>
      <w:r>
        <w:rPr>
          <w:sz w:val="24"/>
        </w:rPr>
        <w:t>consecutive</w:t>
      </w:r>
      <w:r>
        <w:rPr>
          <w:spacing w:val="-4"/>
          <w:sz w:val="24"/>
        </w:rPr>
        <w:t> </w:t>
      </w:r>
      <w:r>
        <w:rPr>
          <w:sz w:val="24"/>
        </w:rPr>
        <w:t>months, </w:t>
      </w:r>
      <w:r>
        <w:rPr>
          <w:spacing w:val="-5"/>
          <w:sz w:val="24"/>
        </w:rPr>
        <w:t>and</w:t>
      </w:r>
    </w:p>
    <w:p>
      <w:pPr>
        <w:pStyle w:val="BodyText"/>
        <w:spacing w:line="237" w:lineRule="auto"/>
        <w:ind w:left="1560" w:right="1220" w:hanging="360"/>
      </w:pPr>
      <w:r>
        <w:rPr/>
        <w:t>(2) The</w:t>
      </w:r>
      <w:r>
        <w:rPr>
          <w:spacing w:val="-5"/>
        </w:rPr>
        <w:t> </w:t>
      </w:r>
      <w:r>
        <w:rPr/>
        <w:t>PHA</w:t>
      </w:r>
      <w:r>
        <w:rPr>
          <w:spacing w:val="-3"/>
        </w:rPr>
        <w:t> </w:t>
      </w:r>
      <w:r>
        <w:rPr/>
        <w:t>will</w:t>
      </w:r>
      <w:r>
        <w:rPr>
          <w:spacing w:val="-2"/>
        </w:rPr>
        <w:t> </w:t>
      </w:r>
      <w:r>
        <w:rPr/>
        <w:t>either</w:t>
      </w:r>
      <w:r>
        <w:rPr>
          <w:spacing w:val="-3"/>
        </w:rPr>
        <w:t> </w:t>
      </w:r>
      <w:r>
        <w:rPr/>
        <w:t>terminate</w:t>
      </w:r>
      <w:r>
        <w:rPr>
          <w:spacing w:val="-3"/>
        </w:rPr>
        <w:t> </w:t>
      </w:r>
      <w:r>
        <w:rPr/>
        <w:t>the</w:t>
      </w:r>
      <w:r>
        <w:rPr>
          <w:spacing w:val="-4"/>
        </w:rPr>
        <w:t> </w:t>
      </w:r>
      <w:r>
        <w:rPr/>
        <w:t>family’s</w:t>
      </w:r>
      <w:r>
        <w:rPr>
          <w:spacing w:val="-2"/>
        </w:rPr>
        <w:t> </w:t>
      </w:r>
      <w:r>
        <w:rPr/>
        <w:t>tenancy</w:t>
      </w:r>
      <w:r>
        <w:rPr>
          <w:spacing w:val="-2"/>
        </w:rPr>
        <w:t> </w:t>
      </w:r>
      <w:r>
        <w:rPr/>
        <w:t>(in</w:t>
      </w:r>
      <w:r>
        <w:rPr>
          <w:spacing w:val="-2"/>
        </w:rPr>
        <w:t> </w:t>
      </w:r>
      <w:r>
        <w:rPr/>
        <w:t>no</w:t>
      </w:r>
      <w:r>
        <w:rPr>
          <w:spacing w:val="-2"/>
        </w:rPr>
        <w:t> </w:t>
      </w:r>
      <w:r>
        <w:rPr/>
        <w:t>more</w:t>
      </w:r>
      <w:r>
        <w:rPr>
          <w:spacing w:val="-4"/>
        </w:rPr>
        <w:t> </w:t>
      </w:r>
      <w:r>
        <w:rPr/>
        <w:t>than</w:t>
      </w:r>
      <w:r>
        <w:rPr>
          <w:spacing w:val="-2"/>
        </w:rPr>
        <w:t> </w:t>
      </w:r>
      <w:r>
        <w:rPr/>
        <w:t>six</w:t>
      </w:r>
      <w:r>
        <w:rPr>
          <w:spacing w:val="-2"/>
        </w:rPr>
        <w:t> </w:t>
      </w:r>
      <w:r>
        <w:rPr/>
        <w:t>months) or charge the family the alternative non-public housing rent (at the next lease renewal or in no more than 60 days after the date the final notice per 24 CFR 960.507(c)(3), whichever is sooner), depending on the PHA’s continued occupancy policies under 960.507(d).</w:t>
      </w:r>
      <w:r>
        <w:rPr>
          <w:spacing w:val="40"/>
        </w:rPr>
        <w:t> </w:t>
      </w:r>
      <w:r>
        <w:rPr/>
        <w:t>See 24 CFR 960.507(c)(3) for more </w:t>
      </w:r>
      <w:r>
        <w:rPr>
          <w:spacing w:val="-2"/>
        </w:rPr>
        <w:t>information.</w:t>
      </w:r>
    </w:p>
    <w:p>
      <w:pPr>
        <w:pStyle w:val="BodyText"/>
        <w:spacing w:before="5"/>
        <w:rPr>
          <w:sz w:val="27"/>
        </w:rPr>
      </w:pPr>
    </w:p>
    <w:p>
      <w:pPr>
        <w:pStyle w:val="BodyText"/>
        <w:spacing w:line="237" w:lineRule="auto"/>
        <w:ind w:left="120" w:right="1268"/>
      </w:pPr>
      <w:r>
        <w:rPr/>
        <w:t>Once a PHA determines through an annual reexamination or an interim reexamination that a family’s income exceeds the applicable OI limit, the PHA must notify the family and make a note</w:t>
      </w:r>
      <w:r>
        <w:rPr>
          <w:spacing w:val="-3"/>
        </w:rPr>
        <w:t> </w:t>
      </w:r>
      <w:r>
        <w:rPr/>
        <w:t>in</w:t>
      </w:r>
      <w:r>
        <w:rPr>
          <w:spacing w:val="-2"/>
        </w:rPr>
        <w:t> </w:t>
      </w:r>
      <w:r>
        <w:rPr/>
        <w:t>the</w:t>
      </w:r>
      <w:r>
        <w:rPr>
          <w:spacing w:val="-3"/>
        </w:rPr>
        <w:t> </w:t>
      </w:r>
      <w:r>
        <w:rPr/>
        <w:t>tenant</w:t>
      </w:r>
      <w:r>
        <w:rPr>
          <w:spacing w:val="-2"/>
        </w:rPr>
        <w:t> </w:t>
      </w:r>
      <w:r>
        <w:rPr/>
        <w:t>file</w:t>
      </w:r>
      <w:r>
        <w:rPr>
          <w:spacing w:val="-4"/>
        </w:rPr>
        <w:t> </w:t>
      </w:r>
      <w:r>
        <w:rPr/>
        <w:t>to</w:t>
      </w:r>
      <w:r>
        <w:rPr>
          <w:spacing w:val="-2"/>
        </w:rPr>
        <w:t> </w:t>
      </w:r>
      <w:r>
        <w:rPr/>
        <w:t>calculate</w:t>
      </w:r>
      <w:r>
        <w:rPr>
          <w:spacing w:val="-3"/>
        </w:rPr>
        <w:t> </w:t>
      </w:r>
      <w:r>
        <w:rPr/>
        <w:t>the</w:t>
      </w:r>
      <w:r>
        <w:rPr>
          <w:spacing w:val="-3"/>
        </w:rPr>
        <w:t> </w:t>
      </w:r>
      <w:r>
        <w:rPr/>
        <w:t>family’s</w:t>
      </w:r>
      <w:r>
        <w:rPr>
          <w:spacing w:val="-2"/>
        </w:rPr>
        <w:t> </w:t>
      </w:r>
      <w:r>
        <w:rPr/>
        <w:t>income</w:t>
      </w:r>
      <w:r>
        <w:rPr>
          <w:spacing w:val="-3"/>
        </w:rPr>
        <w:t> </w:t>
      </w:r>
      <w:r>
        <w:rPr/>
        <w:t>again</w:t>
      </w:r>
      <w:r>
        <w:rPr>
          <w:spacing w:val="-2"/>
        </w:rPr>
        <w:t> </w:t>
      </w:r>
      <w:r>
        <w:rPr/>
        <w:t>12</w:t>
      </w:r>
      <w:r>
        <w:rPr>
          <w:spacing w:val="-2"/>
        </w:rPr>
        <w:t> </w:t>
      </w:r>
      <w:r>
        <w:rPr/>
        <w:t>months</w:t>
      </w:r>
      <w:r>
        <w:rPr>
          <w:spacing w:val="-2"/>
        </w:rPr>
        <w:t> </w:t>
      </w:r>
      <w:r>
        <w:rPr/>
        <w:t>later</w:t>
      </w:r>
      <w:r>
        <w:rPr>
          <w:spacing w:val="-1"/>
        </w:rPr>
        <w:t> </w:t>
      </w:r>
      <w:r>
        <w:rPr/>
        <w:t>to</w:t>
      </w:r>
      <w:r>
        <w:rPr>
          <w:spacing w:val="-2"/>
        </w:rPr>
        <w:t> </w:t>
      </w:r>
      <w:r>
        <w:rPr/>
        <w:t>see</w:t>
      </w:r>
      <w:r>
        <w:rPr>
          <w:spacing w:val="-4"/>
        </w:rPr>
        <w:t> </w:t>
      </w:r>
      <w:r>
        <w:rPr/>
        <w:t>if</w:t>
      </w:r>
      <w:r>
        <w:rPr>
          <w:spacing w:val="-3"/>
        </w:rPr>
        <w:t> </w:t>
      </w:r>
      <w:r>
        <w:rPr/>
        <w:t>the</w:t>
      </w:r>
      <w:r>
        <w:rPr>
          <w:spacing w:val="-4"/>
        </w:rPr>
        <w:t> </w:t>
      </w:r>
      <w:r>
        <w:rPr/>
        <w:t>family remains over-income. PHAs are required to begin tracking the 24 consecutive month grace period once a family’s income exceeds the applicable OI limit.</w:t>
      </w:r>
    </w:p>
    <w:p>
      <w:pPr>
        <w:spacing w:after="0" w:line="237" w:lineRule="auto"/>
        <w:sectPr>
          <w:pgSz w:w="12240" w:h="15840"/>
          <w:pgMar w:header="0" w:footer="1033" w:top="1360" w:bottom="1220" w:left="1320" w:right="240"/>
        </w:sectPr>
      </w:pPr>
    </w:p>
    <w:p>
      <w:pPr>
        <w:pStyle w:val="BodyText"/>
        <w:spacing w:line="237" w:lineRule="auto" w:before="75"/>
        <w:ind w:left="120" w:right="1295"/>
      </w:pPr>
      <w:r>
        <w:rPr/>
        <w:t>After the initial OI determination is made, the PHA must conduct an income reexamination 12 months later</w:t>
      </w:r>
      <w:r>
        <w:rPr>
          <w:spacing w:val="-1"/>
        </w:rPr>
        <w:t> </w:t>
      </w:r>
      <w:r>
        <w:rPr/>
        <w:t>to determine</w:t>
      </w:r>
      <w:r>
        <w:rPr>
          <w:spacing w:val="-2"/>
        </w:rPr>
        <w:t> </w:t>
      </w:r>
      <w:r>
        <w:rPr/>
        <w:t>if</w:t>
      </w:r>
      <w:r>
        <w:rPr>
          <w:spacing w:val="-1"/>
        </w:rPr>
        <w:t> </w:t>
      </w:r>
      <w:r>
        <w:rPr/>
        <w:t>the</w:t>
      </w:r>
      <w:r>
        <w:rPr>
          <w:spacing w:val="-1"/>
        </w:rPr>
        <w:t> </w:t>
      </w:r>
      <w:r>
        <w:rPr/>
        <w:t>family remains over-income even if</w:t>
      </w:r>
      <w:r>
        <w:rPr>
          <w:spacing w:val="-1"/>
        </w:rPr>
        <w:t> </w:t>
      </w:r>
      <w:r>
        <w:rPr/>
        <w:t>the family is paying the</w:t>
      </w:r>
      <w:r>
        <w:rPr>
          <w:spacing w:val="-2"/>
        </w:rPr>
        <w:t> </w:t>
      </w:r>
      <w:r>
        <w:rPr/>
        <w:t>flat rent (</w:t>
      </w:r>
      <w:r>
        <w:rPr>
          <w:i/>
        </w:rPr>
        <w:t>24 CFR 960.253</w:t>
      </w:r>
      <w:r>
        <w:rPr/>
        <w:t>) and/or the date no longer coincides with the family’s original annual reexamination date. An income reexamination to determine if a family remains over-income does not reset the family’s normal annual reexamination date. If a PHA discovers through an annual or interim income reexamination during the 24-month grace period that a previously over-income</w:t>
      </w:r>
      <w:r>
        <w:rPr>
          <w:spacing w:val="-2"/>
        </w:rPr>
        <w:t> </w:t>
      </w:r>
      <w:r>
        <w:rPr/>
        <w:t>family</w:t>
      </w:r>
      <w:r>
        <w:rPr>
          <w:spacing w:val="-3"/>
        </w:rPr>
        <w:t> </w:t>
      </w:r>
      <w:r>
        <w:rPr/>
        <w:t>is</w:t>
      </w:r>
      <w:r>
        <w:rPr>
          <w:spacing w:val="-3"/>
        </w:rPr>
        <w:t> </w:t>
      </w:r>
      <w:r>
        <w:rPr/>
        <w:t>now</w:t>
      </w:r>
      <w:r>
        <w:rPr>
          <w:spacing w:val="-4"/>
        </w:rPr>
        <w:t> </w:t>
      </w:r>
      <w:r>
        <w:rPr/>
        <w:t>below</w:t>
      </w:r>
      <w:r>
        <w:rPr>
          <w:spacing w:val="-4"/>
        </w:rPr>
        <w:t> </w:t>
      </w:r>
      <w:r>
        <w:rPr/>
        <w:t>the</w:t>
      </w:r>
      <w:r>
        <w:rPr>
          <w:spacing w:val="-4"/>
        </w:rPr>
        <w:t> </w:t>
      </w:r>
      <w:r>
        <w:rPr/>
        <w:t>over-income</w:t>
      </w:r>
      <w:r>
        <w:rPr>
          <w:spacing w:val="-2"/>
        </w:rPr>
        <w:t> </w:t>
      </w:r>
      <w:r>
        <w:rPr/>
        <w:t>limit,</w:t>
      </w:r>
      <w:r>
        <w:rPr>
          <w:spacing w:val="-3"/>
        </w:rPr>
        <w:t> </w:t>
      </w:r>
      <w:r>
        <w:rPr/>
        <w:t>the</w:t>
      </w:r>
      <w:r>
        <w:rPr>
          <w:spacing w:val="-4"/>
        </w:rPr>
        <w:t> </w:t>
      </w:r>
      <w:r>
        <w:rPr/>
        <w:t>family</w:t>
      </w:r>
      <w:r>
        <w:rPr>
          <w:spacing w:val="-3"/>
        </w:rPr>
        <w:t> </w:t>
      </w:r>
      <w:r>
        <w:rPr/>
        <w:t>is</w:t>
      </w:r>
      <w:r>
        <w:rPr>
          <w:spacing w:val="-3"/>
        </w:rPr>
        <w:t> </w:t>
      </w:r>
      <w:r>
        <w:rPr/>
        <w:t>no</w:t>
      </w:r>
      <w:r>
        <w:rPr>
          <w:spacing w:val="-3"/>
        </w:rPr>
        <w:t> </w:t>
      </w:r>
      <w:r>
        <w:rPr/>
        <w:t>longer</w:t>
      </w:r>
      <w:r>
        <w:rPr>
          <w:spacing w:val="-4"/>
        </w:rPr>
        <w:t> </w:t>
      </w:r>
      <w:r>
        <w:rPr/>
        <w:t>over-income.</w:t>
      </w:r>
      <w:r>
        <w:rPr>
          <w:spacing w:val="-2"/>
        </w:rPr>
        <w:t> </w:t>
      </w:r>
      <w:r>
        <w:rPr/>
        <w:t>In</w:t>
      </w:r>
    </w:p>
    <w:p>
      <w:pPr>
        <w:pStyle w:val="BodyText"/>
        <w:spacing w:line="237" w:lineRule="auto"/>
        <w:ind w:left="120" w:right="1204"/>
      </w:pPr>
      <w:r>
        <w:rPr/>
        <w:t>this</w:t>
      </w:r>
      <w:r>
        <w:rPr>
          <w:spacing w:val="-2"/>
        </w:rPr>
        <w:t> </w:t>
      </w:r>
      <w:r>
        <w:rPr/>
        <w:t>case,</w:t>
      </w:r>
      <w:r>
        <w:rPr>
          <w:spacing w:val="-2"/>
        </w:rPr>
        <w:t> </w:t>
      </w:r>
      <w:r>
        <w:rPr/>
        <w:t>a</w:t>
      </w:r>
      <w:r>
        <w:rPr>
          <w:spacing w:val="-4"/>
        </w:rPr>
        <w:t> </w:t>
      </w:r>
      <w:r>
        <w:rPr/>
        <w:t>previously</w:t>
      </w:r>
      <w:r>
        <w:rPr>
          <w:spacing w:val="-2"/>
        </w:rPr>
        <w:t> </w:t>
      </w:r>
      <w:r>
        <w:rPr/>
        <w:t>OI</w:t>
      </w:r>
      <w:r>
        <w:rPr>
          <w:spacing w:val="-4"/>
        </w:rPr>
        <w:t> </w:t>
      </w:r>
      <w:r>
        <w:rPr/>
        <w:t>family</w:t>
      </w:r>
      <w:r>
        <w:rPr>
          <w:spacing w:val="-3"/>
        </w:rPr>
        <w:t> </w:t>
      </w:r>
      <w:r>
        <w:rPr/>
        <w:t>would</w:t>
      </w:r>
      <w:r>
        <w:rPr>
          <w:spacing w:val="-2"/>
        </w:rPr>
        <w:t> </w:t>
      </w:r>
      <w:r>
        <w:rPr/>
        <w:t>be</w:t>
      </w:r>
      <w:r>
        <w:rPr>
          <w:spacing w:val="-3"/>
        </w:rPr>
        <w:t> </w:t>
      </w:r>
      <w:r>
        <w:rPr/>
        <w:t>entitled</w:t>
      </w:r>
      <w:r>
        <w:rPr>
          <w:spacing w:val="-2"/>
        </w:rPr>
        <w:t> </w:t>
      </w:r>
      <w:r>
        <w:rPr/>
        <w:t>to</w:t>
      </w:r>
      <w:r>
        <w:rPr>
          <w:spacing w:val="-2"/>
        </w:rPr>
        <w:t> </w:t>
      </w:r>
      <w:r>
        <w:rPr/>
        <w:t>a</w:t>
      </w:r>
      <w:r>
        <w:rPr>
          <w:spacing w:val="-3"/>
        </w:rPr>
        <w:t> </w:t>
      </w:r>
      <w:r>
        <w:rPr/>
        <w:t>new</w:t>
      </w:r>
      <w:r>
        <w:rPr>
          <w:spacing w:val="-3"/>
        </w:rPr>
        <w:t> </w:t>
      </w:r>
      <w:r>
        <w:rPr/>
        <w:t>24</w:t>
      </w:r>
      <w:r>
        <w:rPr>
          <w:spacing w:val="-2"/>
        </w:rPr>
        <w:t> </w:t>
      </w:r>
      <w:r>
        <w:rPr/>
        <w:t>consecutive</w:t>
      </w:r>
      <w:r>
        <w:rPr>
          <w:spacing w:val="-1"/>
        </w:rPr>
        <w:t> </w:t>
      </w:r>
      <w:r>
        <w:rPr/>
        <w:t>month</w:t>
      </w:r>
      <w:r>
        <w:rPr>
          <w:spacing w:val="-2"/>
        </w:rPr>
        <w:t> </w:t>
      </w:r>
      <w:r>
        <w:rPr/>
        <w:t>grace</w:t>
      </w:r>
      <w:r>
        <w:rPr>
          <w:spacing w:val="-3"/>
        </w:rPr>
        <w:t> </w:t>
      </w:r>
      <w:r>
        <w:rPr/>
        <w:t>period</w:t>
      </w:r>
      <w:r>
        <w:rPr>
          <w:spacing w:val="-2"/>
        </w:rPr>
        <w:t> </w:t>
      </w:r>
      <w:r>
        <w:rPr/>
        <w:t>if the family’s income once again exceeds the OI limit.</w:t>
      </w:r>
    </w:p>
    <w:p>
      <w:pPr>
        <w:pStyle w:val="BodyText"/>
        <w:spacing w:before="5"/>
        <w:rPr>
          <w:sz w:val="31"/>
        </w:rPr>
      </w:pPr>
    </w:p>
    <w:p>
      <w:pPr>
        <w:spacing w:before="0"/>
        <w:ind w:left="120" w:right="0" w:firstLine="0"/>
        <w:jc w:val="left"/>
        <w:rPr>
          <w:i/>
          <w:sz w:val="24"/>
        </w:rPr>
      </w:pPr>
      <w:r>
        <w:rPr>
          <w:i/>
          <w:sz w:val="24"/>
        </w:rPr>
        <w:t>Scenario</w:t>
      </w:r>
      <w:r>
        <w:rPr>
          <w:i/>
          <w:spacing w:val="-3"/>
          <w:sz w:val="24"/>
        </w:rPr>
        <w:t> </w:t>
      </w:r>
      <w:r>
        <w:rPr>
          <w:i/>
          <w:sz w:val="24"/>
        </w:rPr>
        <w:t>#1</w:t>
      </w:r>
      <w:r>
        <w:rPr>
          <w:i/>
          <w:spacing w:val="-2"/>
          <w:sz w:val="24"/>
        </w:rPr>
        <w:t> </w:t>
      </w:r>
      <w:r>
        <w:rPr>
          <w:i/>
          <w:sz w:val="24"/>
        </w:rPr>
        <w:t>–</w:t>
      </w:r>
      <w:r>
        <w:rPr>
          <w:i/>
          <w:spacing w:val="-3"/>
          <w:sz w:val="24"/>
        </w:rPr>
        <w:t> </w:t>
      </w:r>
      <w:r>
        <w:rPr>
          <w:i/>
          <w:sz w:val="24"/>
        </w:rPr>
        <w:t>Uninterrupted</w:t>
      </w:r>
      <w:r>
        <w:rPr>
          <w:i/>
          <w:spacing w:val="-2"/>
          <w:sz w:val="24"/>
        </w:rPr>
        <w:t> </w:t>
      </w:r>
      <w:r>
        <w:rPr>
          <w:i/>
          <w:sz w:val="24"/>
        </w:rPr>
        <w:t>grace</w:t>
      </w:r>
      <w:r>
        <w:rPr>
          <w:i/>
          <w:spacing w:val="-3"/>
          <w:sz w:val="24"/>
        </w:rPr>
        <w:t> </w:t>
      </w:r>
      <w:r>
        <w:rPr>
          <w:i/>
          <w:spacing w:val="-2"/>
          <w:sz w:val="24"/>
        </w:rPr>
        <w:t>period</w:t>
      </w:r>
    </w:p>
    <w:p>
      <w:pPr>
        <w:pStyle w:val="BodyText"/>
        <w:spacing w:line="237" w:lineRule="auto" w:before="48"/>
        <w:ind w:left="120" w:right="1268"/>
      </w:pPr>
      <w:r>
        <w:rPr/>
        <w:t>For example, if a family is determined to be over-income at an interim reexamination, the 24 consecutive month grace period begins. The 24-month ‘clock’ continues to run if the family remains</w:t>
      </w:r>
      <w:r>
        <w:rPr>
          <w:spacing w:val="-3"/>
        </w:rPr>
        <w:t> </w:t>
      </w:r>
      <w:r>
        <w:rPr/>
        <w:t>over-income</w:t>
      </w:r>
      <w:r>
        <w:rPr>
          <w:spacing w:val="-4"/>
        </w:rPr>
        <w:t> </w:t>
      </w:r>
      <w:r>
        <w:rPr/>
        <w:t>as</w:t>
      </w:r>
      <w:r>
        <w:rPr>
          <w:spacing w:val="-1"/>
        </w:rPr>
        <w:t> </w:t>
      </w:r>
      <w:r>
        <w:rPr/>
        <w:t>determined</w:t>
      </w:r>
      <w:r>
        <w:rPr>
          <w:spacing w:val="-3"/>
        </w:rPr>
        <w:t> </w:t>
      </w:r>
      <w:r>
        <w:rPr/>
        <w:t>by</w:t>
      </w:r>
      <w:r>
        <w:rPr>
          <w:spacing w:val="-3"/>
        </w:rPr>
        <w:t> </w:t>
      </w:r>
      <w:r>
        <w:rPr/>
        <w:t>another</w:t>
      </w:r>
      <w:r>
        <w:rPr>
          <w:spacing w:val="-4"/>
        </w:rPr>
        <w:t> </w:t>
      </w:r>
      <w:r>
        <w:rPr/>
        <w:t>reexamination</w:t>
      </w:r>
      <w:r>
        <w:rPr>
          <w:spacing w:val="-3"/>
        </w:rPr>
        <w:t> </w:t>
      </w:r>
      <w:r>
        <w:rPr/>
        <w:t>12</w:t>
      </w:r>
      <w:r>
        <w:rPr>
          <w:spacing w:val="-3"/>
        </w:rPr>
        <w:t> </w:t>
      </w:r>
      <w:r>
        <w:rPr/>
        <w:t>months</w:t>
      </w:r>
      <w:r>
        <w:rPr>
          <w:spacing w:val="-3"/>
        </w:rPr>
        <w:t> </w:t>
      </w:r>
      <w:r>
        <w:rPr/>
        <w:t>later.</w:t>
      </w:r>
      <w:r>
        <w:rPr>
          <w:spacing w:val="-3"/>
        </w:rPr>
        <w:t> </w:t>
      </w:r>
      <w:r>
        <w:rPr/>
        <w:t>At</w:t>
      </w:r>
      <w:r>
        <w:rPr>
          <w:spacing w:val="-3"/>
        </w:rPr>
        <w:t> </w:t>
      </w:r>
      <w:r>
        <w:rPr/>
        <w:t>the</w:t>
      </w:r>
      <w:r>
        <w:rPr>
          <w:spacing w:val="-5"/>
        </w:rPr>
        <w:t> </w:t>
      </w:r>
      <w:r>
        <w:rPr/>
        <w:t>end</w:t>
      </w:r>
      <w:r>
        <w:rPr>
          <w:spacing w:val="-3"/>
        </w:rPr>
        <w:t> </w:t>
      </w:r>
      <w:r>
        <w:rPr/>
        <w:t>of</w:t>
      </w:r>
      <w:r>
        <w:rPr>
          <w:spacing w:val="-4"/>
        </w:rPr>
        <w:t> </w:t>
      </w:r>
      <w:r>
        <w:rPr/>
        <w:t>the 24</w:t>
      </w:r>
      <w:r>
        <w:rPr>
          <w:vertAlign w:val="superscript"/>
        </w:rPr>
        <w:t>th</w:t>
      </w:r>
      <w:r>
        <w:rPr>
          <w:vertAlign w:val="baseline"/>
        </w:rPr>
        <w:t> month of the grace period, if the family remains over-income the family will be subject to the over-income policy of the PHA (i.e., termination within 6 months or beginning to pay the alternative rent).</w:t>
      </w:r>
    </w:p>
    <w:p>
      <w:pPr>
        <w:pStyle w:val="BodyText"/>
        <w:spacing w:before="6"/>
        <w:rPr>
          <w:sz w:val="31"/>
        </w:rPr>
      </w:pPr>
    </w:p>
    <w:p>
      <w:pPr>
        <w:spacing w:before="0"/>
        <w:ind w:left="120" w:right="0" w:firstLine="0"/>
        <w:jc w:val="left"/>
        <w:rPr>
          <w:i/>
          <w:sz w:val="24"/>
        </w:rPr>
      </w:pPr>
      <w:r>
        <w:rPr>
          <w:i/>
          <w:sz w:val="24"/>
        </w:rPr>
        <w:t>Scenario</w:t>
      </w:r>
      <w:r>
        <w:rPr>
          <w:i/>
          <w:spacing w:val="-3"/>
          <w:sz w:val="24"/>
        </w:rPr>
        <w:t> </w:t>
      </w:r>
      <w:r>
        <w:rPr>
          <w:i/>
          <w:sz w:val="24"/>
        </w:rPr>
        <w:t>#2</w:t>
      </w:r>
      <w:r>
        <w:rPr>
          <w:i/>
          <w:spacing w:val="-2"/>
          <w:sz w:val="24"/>
        </w:rPr>
        <w:t> </w:t>
      </w:r>
      <w:r>
        <w:rPr>
          <w:i/>
          <w:sz w:val="24"/>
        </w:rPr>
        <w:t>–</w:t>
      </w:r>
      <w:r>
        <w:rPr>
          <w:i/>
          <w:spacing w:val="-2"/>
          <w:sz w:val="24"/>
        </w:rPr>
        <w:t> </w:t>
      </w:r>
      <w:r>
        <w:rPr>
          <w:i/>
          <w:sz w:val="24"/>
        </w:rPr>
        <w:t>Interrupted</w:t>
      </w:r>
      <w:r>
        <w:rPr>
          <w:i/>
          <w:spacing w:val="-2"/>
          <w:sz w:val="24"/>
        </w:rPr>
        <w:t> </w:t>
      </w:r>
      <w:r>
        <w:rPr>
          <w:i/>
          <w:sz w:val="24"/>
        </w:rPr>
        <w:t>grace</w:t>
      </w:r>
      <w:r>
        <w:rPr>
          <w:i/>
          <w:spacing w:val="-4"/>
          <w:sz w:val="24"/>
        </w:rPr>
        <w:t> </w:t>
      </w:r>
      <w:r>
        <w:rPr>
          <w:i/>
          <w:spacing w:val="-2"/>
          <w:sz w:val="24"/>
        </w:rPr>
        <w:t>period</w:t>
      </w:r>
    </w:p>
    <w:p>
      <w:pPr>
        <w:pStyle w:val="BodyText"/>
        <w:spacing w:line="237" w:lineRule="auto" w:before="46"/>
        <w:ind w:left="120" w:right="1204"/>
      </w:pPr>
      <w:r>
        <w:rPr/>
        <w:t>If</w:t>
      </w:r>
      <w:r>
        <w:rPr>
          <w:spacing w:val="-4"/>
        </w:rPr>
        <w:t> </w:t>
      </w:r>
      <w:r>
        <w:rPr/>
        <w:t>the</w:t>
      </w:r>
      <w:r>
        <w:rPr>
          <w:spacing w:val="-5"/>
        </w:rPr>
        <w:t> </w:t>
      </w:r>
      <w:r>
        <w:rPr/>
        <w:t>family</w:t>
      </w:r>
      <w:r>
        <w:rPr>
          <w:spacing w:val="-3"/>
        </w:rPr>
        <w:t> </w:t>
      </w:r>
      <w:r>
        <w:rPr/>
        <w:t>is</w:t>
      </w:r>
      <w:r>
        <w:rPr>
          <w:spacing w:val="-2"/>
        </w:rPr>
        <w:t> </w:t>
      </w:r>
      <w:r>
        <w:rPr/>
        <w:t>determined</w:t>
      </w:r>
      <w:r>
        <w:rPr>
          <w:spacing w:val="-2"/>
        </w:rPr>
        <w:t> </w:t>
      </w:r>
      <w:r>
        <w:rPr/>
        <w:t>to</w:t>
      </w:r>
      <w:r>
        <w:rPr>
          <w:spacing w:val="-2"/>
        </w:rPr>
        <w:t> </w:t>
      </w:r>
      <w:r>
        <w:rPr/>
        <w:t>no</w:t>
      </w:r>
      <w:r>
        <w:rPr>
          <w:spacing w:val="-2"/>
        </w:rPr>
        <w:t> </w:t>
      </w:r>
      <w:r>
        <w:rPr/>
        <w:t>longer</w:t>
      </w:r>
      <w:r>
        <w:rPr>
          <w:spacing w:val="-3"/>
        </w:rPr>
        <w:t> </w:t>
      </w:r>
      <w:r>
        <w:rPr/>
        <w:t>be</w:t>
      </w:r>
      <w:r>
        <w:rPr>
          <w:spacing w:val="-3"/>
        </w:rPr>
        <w:t> </w:t>
      </w:r>
      <w:r>
        <w:rPr/>
        <w:t>OI</w:t>
      </w:r>
      <w:r>
        <w:rPr>
          <w:spacing w:val="-4"/>
        </w:rPr>
        <w:t> </w:t>
      </w:r>
      <w:r>
        <w:rPr/>
        <w:t>at</w:t>
      </w:r>
      <w:r>
        <w:rPr>
          <w:spacing w:val="-3"/>
        </w:rPr>
        <w:t> </w:t>
      </w:r>
      <w:r>
        <w:rPr/>
        <w:t>any</w:t>
      </w:r>
      <w:r>
        <w:rPr>
          <w:spacing w:val="-3"/>
        </w:rPr>
        <w:t> </w:t>
      </w:r>
      <w:r>
        <w:rPr/>
        <w:t>point</w:t>
      </w:r>
      <w:r>
        <w:rPr>
          <w:spacing w:val="-3"/>
        </w:rPr>
        <w:t> </w:t>
      </w:r>
      <w:r>
        <w:rPr/>
        <w:t>within</w:t>
      </w:r>
      <w:r>
        <w:rPr>
          <w:spacing w:val="-2"/>
        </w:rPr>
        <w:t> </w:t>
      </w:r>
      <w:r>
        <w:rPr/>
        <w:t>the</w:t>
      </w:r>
      <w:r>
        <w:rPr>
          <w:spacing w:val="-3"/>
        </w:rPr>
        <w:t> </w:t>
      </w:r>
      <w:r>
        <w:rPr/>
        <w:t>24-month</w:t>
      </w:r>
      <w:r>
        <w:rPr>
          <w:spacing w:val="-2"/>
        </w:rPr>
        <w:t> </w:t>
      </w:r>
      <w:r>
        <w:rPr/>
        <w:t>period,</w:t>
      </w:r>
      <w:r>
        <w:rPr>
          <w:spacing w:val="-2"/>
        </w:rPr>
        <w:t> </w:t>
      </w:r>
      <w:r>
        <w:rPr/>
        <w:t>the</w:t>
      </w:r>
      <w:r>
        <w:rPr>
          <w:spacing w:val="-3"/>
        </w:rPr>
        <w:t> </w:t>
      </w:r>
      <w:r>
        <w:rPr/>
        <w:t>grace period no longer applies. The family remains an income-eligible public housing program participant. If the family is determined to be OI again in the future, they would be entitled to a new 24 consecutive month grace period.</w:t>
      </w:r>
    </w:p>
    <w:p>
      <w:pPr>
        <w:pStyle w:val="BodyText"/>
        <w:spacing w:before="9"/>
        <w:rPr>
          <w:sz w:val="31"/>
        </w:rPr>
      </w:pPr>
    </w:p>
    <w:p>
      <w:pPr>
        <w:pStyle w:val="BodyText"/>
        <w:spacing w:line="237" w:lineRule="auto"/>
        <w:ind w:left="120" w:right="1215"/>
      </w:pPr>
      <w:r>
        <w:rPr/>
        <w:t>PHAs must ensure</w:t>
      </w:r>
      <w:r>
        <w:rPr>
          <w:spacing w:val="-1"/>
        </w:rPr>
        <w:t> </w:t>
      </w:r>
      <w:r>
        <w:rPr/>
        <w:t>that all notices and communications are</w:t>
      </w:r>
      <w:r>
        <w:rPr>
          <w:spacing w:val="-1"/>
        </w:rPr>
        <w:t> </w:t>
      </w:r>
      <w:r>
        <w:rPr/>
        <w:t>provided in a</w:t>
      </w:r>
      <w:r>
        <w:rPr>
          <w:spacing w:val="-1"/>
        </w:rPr>
        <w:t> </w:t>
      </w:r>
      <w:r>
        <w:rPr/>
        <w:t>manner</w:t>
      </w:r>
      <w:r>
        <w:rPr>
          <w:spacing w:val="-1"/>
        </w:rPr>
        <w:t> </w:t>
      </w:r>
      <w:r>
        <w:rPr/>
        <w:t>that is effective for persons with hearing, visual, and other disabilities. For persons with vision impairments, upon request and free of charge, this may include brailed materials, large print, or materials on tape. For persons with hearing impairments, upon request and free of charge, this may include sign language or other types of interpretation, appropriate auxiliary aids, and services, such as interpreters,</w:t>
      </w:r>
      <w:r>
        <w:rPr>
          <w:spacing w:val="-5"/>
        </w:rPr>
        <w:t> </w:t>
      </w:r>
      <w:r>
        <w:rPr/>
        <w:t>transcription</w:t>
      </w:r>
      <w:r>
        <w:rPr>
          <w:spacing w:val="-3"/>
        </w:rPr>
        <w:t> </w:t>
      </w:r>
      <w:r>
        <w:rPr/>
        <w:t>services,</w:t>
      </w:r>
      <w:r>
        <w:rPr>
          <w:spacing w:val="-5"/>
        </w:rPr>
        <w:t> </w:t>
      </w:r>
      <w:r>
        <w:rPr/>
        <w:t>and</w:t>
      </w:r>
      <w:r>
        <w:rPr>
          <w:spacing w:val="-3"/>
        </w:rPr>
        <w:t> </w:t>
      </w:r>
      <w:r>
        <w:rPr/>
        <w:t>accessible</w:t>
      </w:r>
      <w:r>
        <w:rPr>
          <w:spacing w:val="-4"/>
        </w:rPr>
        <w:t> </w:t>
      </w:r>
      <w:r>
        <w:rPr/>
        <w:t>electronic</w:t>
      </w:r>
      <w:r>
        <w:rPr>
          <w:spacing w:val="-4"/>
        </w:rPr>
        <w:t> </w:t>
      </w:r>
      <w:r>
        <w:rPr/>
        <w:t>communications,</w:t>
      </w:r>
      <w:r>
        <w:rPr>
          <w:spacing w:val="-5"/>
        </w:rPr>
        <w:t> </w:t>
      </w:r>
      <w:r>
        <w:rPr/>
        <w:t>in</w:t>
      </w:r>
      <w:r>
        <w:rPr>
          <w:spacing w:val="-5"/>
        </w:rPr>
        <w:t> </w:t>
      </w:r>
      <w:r>
        <w:rPr/>
        <w:t>accordance</w:t>
      </w:r>
      <w:r>
        <w:rPr>
          <w:spacing w:val="-4"/>
        </w:rPr>
        <w:t> </w:t>
      </w:r>
      <w:r>
        <w:rPr/>
        <w:t>with Section 504 and ADA requirements (24 CFR 8.6 and 24 CFR 8.28; 28 CFR part 35, Subpart E).</w:t>
      </w:r>
    </w:p>
    <w:p>
      <w:pPr>
        <w:pStyle w:val="BodyText"/>
        <w:spacing w:before="9"/>
        <w:rPr>
          <w:sz w:val="31"/>
        </w:rPr>
      </w:pPr>
    </w:p>
    <w:p>
      <w:pPr>
        <w:pStyle w:val="ListParagraph"/>
        <w:numPr>
          <w:ilvl w:val="1"/>
          <w:numId w:val="2"/>
        </w:numPr>
        <w:tabs>
          <w:tab w:pos="1560" w:val="left" w:leader="none"/>
        </w:tabs>
        <w:spacing w:line="240" w:lineRule="auto" w:before="0" w:after="0"/>
        <w:ind w:left="1560" w:right="0" w:hanging="360"/>
        <w:jc w:val="left"/>
        <w:rPr>
          <w:sz w:val="24"/>
        </w:rPr>
      </w:pPr>
      <w:bookmarkStart w:name="c. Limitation on public housing tenancy" w:id="31"/>
      <w:bookmarkEnd w:id="31"/>
      <w:r>
        <w:rPr/>
      </w:r>
      <w:bookmarkStart w:name="_bookmark21" w:id="32"/>
      <w:bookmarkEnd w:id="32"/>
      <w:r>
        <w:rPr>
          <w:sz w:val="24"/>
        </w:rPr>
        <w:t>Limit</w:t>
      </w:r>
      <w:r>
        <w:rPr>
          <w:sz w:val="24"/>
        </w:rPr>
        <w:t>ation</w:t>
      </w:r>
      <w:r>
        <w:rPr>
          <w:spacing w:val="-2"/>
          <w:sz w:val="24"/>
        </w:rPr>
        <w:t> </w:t>
      </w:r>
      <w:r>
        <w:rPr>
          <w:sz w:val="24"/>
        </w:rPr>
        <w:t>on</w:t>
      </w:r>
      <w:r>
        <w:rPr>
          <w:spacing w:val="-2"/>
          <w:sz w:val="24"/>
        </w:rPr>
        <w:t> </w:t>
      </w:r>
      <w:r>
        <w:rPr>
          <w:sz w:val="24"/>
        </w:rPr>
        <w:t>public</w:t>
      </w:r>
      <w:r>
        <w:rPr>
          <w:spacing w:val="-2"/>
          <w:sz w:val="24"/>
        </w:rPr>
        <w:t> </w:t>
      </w:r>
      <w:r>
        <w:rPr>
          <w:sz w:val="24"/>
        </w:rPr>
        <w:t>hou</w:t>
      </w:r>
      <w:bookmarkStart w:name="_bookmark22" w:id="33"/>
      <w:bookmarkEnd w:id="33"/>
      <w:r>
        <w:rPr>
          <w:sz w:val="24"/>
        </w:rPr>
        <w:t>si</w:t>
      </w:r>
      <w:r>
        <w:rPr>
          <w:sz w:val="24"/>
        </w:rPr>
        <w:t>ng</w:t>
      </w:r>
      <w:r>
        <w:rPr>
          <w:spacing w:val="-2"/>
          <w:sz w:val="24"/>
        </w:rPr>
        <w:t> tenancy</w:t>
      </w:r>
      <w:hyperlink w:history="true" w:anchor="_bookmark24">
        <w:r>
          <w:rPr>
            <w:spacing w:val="-2"/>
            <w:sz w:val="24"/>
            <w:vertAlign w:val="superscript"/>
          </w:rPr>
          <w:t>7</w:t>
        </w:r>
      </w:hyperlink>
    </w:p>
    <w:p>
      <w:pPr>
        <w:pStyle w:val="BodyText"/>
        <w:spacing w:line="237" w:lineRule="auto" w:before="62"/>
        <w:ind w:left="120" w:right="1482"/>
      </w:pPr>
      <w:r>
        <w:rPr/>
        <w:t>Once</w:t>
      </w:r>
      <w:r>
        <w:rPr>
          <w:spacing w:val="-5"/>
        </w:rPr>
        <w:t> </w:t>
      </w:r>
      <w:r>
        <w:rPr/>
        <w:t>a</w:t>
      </w:r>
      <w:r>
        <w:rPr>
          <w:spacing w:val="-2"/>
        </w:rPr>
        <w:t> </w:t>
      </w:r>
      <w:r>
        <w:rPr/>
        <w:t>family</w:t>
      </w:r>
      <w:r>
        <w:rPr>
          <w:spacing w:val="-3"/>
        </w:rPr>
        <w:t> </w:t>
      </w:r>
      <w:r>
        <w:rPr/>
        <w:t>exceeds</w:t>
      </w:r>
      <w:r>
        <w:rPr>
          <w:spacing w:val="-3"/>
        </w:rPr>
        <w:t> </w:t>
      </w:r>
      <w:r>
        <w:rPr/>
        <w:t>the</w:t>
      </w:r>
      <w:r>
        <w:rPr>
          <w:spacing w:val="-4"/>
        </w:rPr>
        <w:t> </w:t>
      </w:r>
      <w:r>
        <w:rPr/>
        <w:t>over-income</w:t>
      </w:r>
      <w:r>
        <w:rPr>
          <w:spacing w:val="-5"/>
        </w:rPr>
        <w:t> </w:t>
      </w:r>
      <w:r>
        <w:rPr/>
        <w:t>limit</w:t>
      </w:r>
      <w:r>
        <w:rPr>
          <w:spacing w:val="-3"/>
        </w:rPr>
        <w:t> </w:t>
      </w:r>
      <w:r>
        <w:rPr/>
        <w:t>for</w:t>
      </w:r>
      <w:r>
        <w:rPr>
          <w:spacing w:val="-4"/>
        </w:rPr>
        <w:t> </w:t>
      </w:r>
      <w:r>
        <w:rPr/>
        <w:t>24</w:t>
      </w:r>
      <w:r>
        <w:rPr>
          <w:spacing w:val="-3"/>
        </w:rPr>
        <w:t> </w:t>
      </w:r>
      <w:r>
        <w:rPr/>
        <w:t>consecutive</w:t>
      </w:r>
      <w:r>
        <w:rPr>
          <w:spacing w:val="-4"/>
        </w:rPr>
        <w:t> </w:t>
      </w:r>
      <w:r>
        <w:rPr/>
        <w:t>months,</w:t>
      </w:r>
      <w:bookmarkStart w:name="_bookmark23" w:id="34"/>
      <w:bookmarkEnd w:id="34"/>
      <w:r>
        <w:rPr>
          <w:spacing w:val="3"/>
        </w:rPr>
      </w:r>
      <w:hyperlink w:history="true" w:anchor="_bookmark25">
        <w:r>
          <w:rPr>
            <w:vertAlign w:val="superscript"/>
          </w:rPr>
          <w:t>8</w:t>
        </w:r>
      </w:hyperlink>
      <w:r>
        <w:rPr>
          <w:spacing w:val="-2"/>
          <w:vertAlign w:val="baseline"/>
        </w:rPr>
        <w:t> </w:t>
      </w:r>
      <w:r>
        <w:rPr>
          <w:vertAlign w:val="baseline"/>
        </w:rPr>
        <w:t>the</w:t>
      </w:r>
      <w:r>
        <w:rPr>
          <w:spacing w:val="-5"/>
          <w:vertAlign w:val="baseline"/>
        </w:rPr>
        <w:t> </w:t>
      </w:r>
      <w:r>
        <w:rPr>
          <w:vertAlign w:val="baseline"/>
        </w:rPr>
        <w:t>public</w:t>
      </w:r>
      <w:r>
        <w:rPr>
          <w:spacing w:val="-5"/>
          <w:vertAlign w:val="baseline"/>
        </w:rPr>
        <w:t> </w:t>
      </w:r>
      <w:r>
        <w:rPr>
          <w:vertAlign w:val="baseline"/>
        </w:rPr>
        <w:t>housing agency must either:</w:t>
      </w:r>
    </w:p>
    <w:p>
      <w:pPr>
        <w:pStyle w:val="ListParagraph"/>
        <w:numPr>
          <w:ilvl w:val="0"/>
          <w:numId w:val="4"/>
        </w:numPr>
        <w:tabs>
          <w:tab w:pos="1199" w:val="left" w:leader="none"/>
          <w:tab w:pos="1200" w:val="left" w:leader="none"/>
        </w:tabs>
        <w:spacing w:line="237" w:lineRule="auto" w:before="47" w:after="0"/>
        <w:ind w:left="1200" w:right="1440" w:hanging="360"/>
        <w:jc w:val="left"/>
        <w:rPr>
          <w:sz w:val="24"/>
        </w:rPr>
      </w:pPr>
      <w:r>
        <w:rPr>
          <w:sz w:val="24"/>
        </w:rPr>
        <w:t>Charge</w:t>
      </w:r>
      <w:r>
        <w:rPr>
          <w:spacing w:val="-5"/>
          <w:sz w:val="24"/>
        </w:rPr>
        <w:t> </w:t>
      </w:r>
      <w:r>
        <w:rPr>
          <w:sz w:val="24"/>
        </w:rPr>
        <w:t>such</w:t>
      </w:r>
      <w:r>
        <w:rPr>
          <w:spacing w:val="-3"/>
          <w:sz w:val="24"/>
        </w:rPr>
        <w:t> </w:t>
      </w:r>
      <w:r>
        <w:rPr>
          <w:sz w:val="24"/>
        </w:rPr>
        <w:t>family</w:t>
      </w:r>
      <w:r>
        <w:rPr>
          <w:spacing w:val="-3"/>
          <w:sz w:val="24"/>
        </w:rPr>
        <w:t> </w:t>
      </w:r>
      <w:r>
        <w:rPr>
          <w:sz w:val="24"/>
        </w:rPr>
        <w:t>as</w:t>
      </w:r>
      <w:r>
        <w:rPr>
          <w:spacing w:val="-3"/>
          <w:sz w:val="24"/>
        </w:rPr>
        <w:t> </w:t>
      </w:r>
      <w:r>
        <w:rPr>
          <w:sz w:val="24"/>
        </w:rPr>
        <w:t>monthly</w:t>
      </w:r>
      <w:r>
        <w:rPr>
          <w:spacing w:val="-3"/>
          <w:sz w:val="24"/>
        </w:rPr>
        <w:t> </w:t>
      </w:r>
      <w:r>
        <w:rPr>
          <w:sz w:val="24"/>
        </w:rPr>
        <w:t>rent</w:t>
      </w:r>
      <w:r>
        <w:rPr>
          <w:spacing w:val="-3"/>
          <w:sz w:val="24"/>
        </w:rPr>
        <w:t> </w:t>
      </w:r>
      <w:r>
        <w:rPr>
          <w:sz w:val="24"/>
        </w:rPr>
        <w:t>for</w:t>
      </w:r>
      <w:r>
        <w:rPr>
          <w:spacing w:val="-4"/>
          <w:sz w:val="24"/>
        </w:rPr>
        <w:t> </w:t>
      </w:r>
      <w:r>
        <w:rPr>
          <w:sz w:val="24"/>
        </w:rPr>
        <w:t>the</w:t>
      </w:r>
      <w:r>
        <w:rPr>
          <w:spacing w:val="-4"/>
          <w:sz w:val="24"/>
        </w:rPr>
        <w:t> </w:t>
      </w:r>
      <w:r>
        <w:rPr>
          <w:sz w:val="24"/>
        </w:rPr>
        <w:t>unit</w:t>
      </w:r>
      <w:r>
        <w:rPr>
          <w:spacing w:val="-3"/>
          <w:sz w:val="24"/>
        </w:rPr>
        <w:t> </w:t>
      </w:r>
      <w:r>
        <w:rPr>
          <w:sz w:val="24"/>
        </w:rPr>
        <w:t>occupied</w:t>
      </w:r>
      <w:r>
        <w:rPr>
          <w:spacing w:val="-3"/>
          <w:sz w:val="24"/>
        </w:rPr>
        <w:t> </w:t>
      </w:r>
      <w:r>
        <w:rPr>
          <w:sz w:val="24"/>
        </w:rPr>
        <w:t>by</w:t>
      </w:r>
      <w:r>
        <w:rPr>
          <w:spacing w:val="-3"/>
          <w:sz w:val="24"/>
        </w:rPr>
        <w:t> </w:t>
      </w:r>
      <w:r>
        <w:rPr>
          <w:sz w:val="24"/>
        </w:rPr>
        <w:t>such</w:t>
      </w:r>
      <w:r>
        <w:rPr>
          <w:spacing w:val="-1"/>
          <w:sz w:val="24"/>
        </w:rPr>
        <w:t> </w:t>
      </w:r>
      <w:r>
        <w:rPr>
          <w:sz w:val="24"/>
        </w:rPr>
        <w:t>family</w:t>
      </w:r>
      <w:r>
        <w:rPr>
          <w:spacing w:val="-3"/>
          <w:sz w:val="24"/>
        </w:rPr>
        <w:t> </w:t>
      </w:r>
      <w:r>
        <w:rPr>
          <w:sz w:val="24"/>
        </w:rPr>
        <w:t>an</w:t>
      </w:r>
      <w:r>
        <w:rPr>
          <w:spacing w:val="-3"/>
          <w:sz w:val="24"/>
        </w:rPr>
        <w:t> </w:t>
      </w:r>
      <w:r>
        <w:rPr>
          <w:sz w:val="24"/>
        </w:rPr>
        <w:t>amount equal to the greater of—</w:t>
      </w:r>
    </w:p>
    <w:p>
      <w:pPr>
        <w:pStyle w:val="ListParagraph"/>
        <w:numPr>
          <w:ilvl w:val="1"/>
          <w:numId w:val="4"/>
        </w:numPr>
        <w:tabs>
          <w:tab w:pos="1920" w:val="left" w:leader="none"/>
        </w:tabs>
        <w:spacing w:line="240" w:lineRule="auto" w:before="44" w:after="0"/>
        <w:ind w:left="1920" w:right="1420" w:hanging="360"/>
        <w:jc w:val="left"/>
        <w:rPr>
          <w:sz w:val="24"/>
        </w:rPr>
      </w:pPr>
      <w:r>
        <w:rPr>
          <w:sz w:val="24"/>
        </w:rPr>
        <w:t>the</w:t>
      </w:r>
      <w:r>
        <w:rPr>
          <w:spacing w:val="-4"/>
          <w:sz w:val="24"/>
        </w:rPr>
        <w:t> </w:t>
      </w:r>
      <w:r>
        <w:rPr>
          <w:sz w:val="24"/>
        </w:rPr>
        <w:t>applicable</w:t>
      </w:r>
      <w:r>
        <w:rPr>
          <w:spacing w:val="-4"/>
          <w:sz w:val="24"/>
        </w:rPr>
        <w:t> </w:t>
      </w:r>
      <w:r>
        <w:rPr>
          <w:sz w:val="24"/>
        </w:rPr>
        <w:t>fair</w:t>
      </w:r>
      <w:r>
        <w:rPr>
          <w:spacing w:val="-4"/>
          <w:sz w:val="24"/>
        </w:rPr>
        <w:t> </w:t>
      </w:r>
      <w:r>
        <w:rPr>
          <w:sz w:val="24"/>
        </w:rPr>
        <w:t>market</w:t>
      </w:r>
      <w:r>
        <w:rPr>
          <w:spacing w:val="-3"/>
          <w:sz w:val="24"/>
        </w:rPr>
        <w:t> </w:t>
      </w:r>
      <w:r>
        <w:rPr>
          <w:sz w:val="24"/>
        </w:rPr>
        <w:t>rent</w:t>
      </w:r>
      <w:r>
        <w:rPr>
          <w:spacing w:val="-3"/>
          <w:sz w:val="24"/>
        </w:rPr>
        <w:t> </w:t>
      </w:r>
      <w:r>
        <w:rPr>
          <w:sz w:val="24"/>
        </w:rPr>
        <w:t>(FMR)</w:t>
      </w:r>
      <w:r>
        <w:rPr>
          <w:spacing w:val="-4"/>
          <w:sz w:val="24"/>
        </w:rPr>
        <w:t> </w:t>
      </w:r>
      <w:r>
        <w:rPr>
          <w:sz w:val="24"/>
        </w:rPr>
        <w:t>for</w:t>
      </w:r>
      <w:r>
        <w:rPr>
          <w:spacing w:val="-4"/>
          <w:sz w:val="24"/>
        </w:rPr>
        <w:t> </w:t>
      </w:r>
      <w:r>
        <w:rPr>
          <w:sz w:val="24"/>
        </w:rPr>
        <w:t>a</w:t>
      </w:r>
      <w:r>
        <w:rPr>
          <w:spacing w:val="-4"/>
          <w:sz w:val="24"/>
        </w:rPr>
        <w:t> </w:t>
      </w:r>
      <w:r>
        <w:rPr>
          <w:sz w:val="24"/>
        </w:rPr>
        <w:t>dwelling</w:t>
      </w:r>
      <w:r>
        <w:rPr>
          <w:spacing w:val="-3"/>
          <w:sz w:val="24"/>
        </w:rPr>
        <w:t> </w:t>
      </w:r>
      <w:r>
        <w:rPr>
          <w:sz w:val="24"/>
        </w:rPr>
        <w:t>unit</w:t>
      </w:r>
      <w:r>
        <w:rPr>
          <w:spacing w:val="-3"/>
          <w:sz w:val="24"/>
        </w:rPr>
        <w:t> </w:t>
      </w:r>
      <w:r>
        <w:rPr>
          <w:sz w:val="24"/>
        </w:rPr>
        <w:t>in</w:t>
      </w:r>
      <w:r>
        <w:rPr>
          <w:spacing w:val="-3"/>
          <w:sz w:val="24"/>
        </w:rPr>
        <w:t> </w:t>
      </w:r>
      <w:r>
        <w:rPr>
          <w:sz w:val="24"/>
        </w:rPr>
        <w:t>the</w:t>
      </w:r>
      <w:r>
        <w:rPr>
          <w:spacing w:val="-4"/>
          <w:sz w:val="24"/>
        </w:rPr>
        <w:t> </w:t>
      </w:r>
      <w:r>
        <w:rPr>
          <w:sz w:val="24"/>
        </w:rPr>
        <w:t>same</w:t>
      </w:r>
      <w:r>
        <w:rPr>
          <w:spacing w:val="-4"/>
          <w:sz w:val="24"/>
        </w:rPr>
        <w:t> </w:t>
      </w:r>
      <w:r>
        <w:rPr>
          <w:sz w:val="24"/>
        </w:rPr>
        <w:t>market area of the same size; or</w:t>
      </w:r>
    </w:p>
    <w:p>
      <w:pPr>
        <w:pStyle w:val="ListParagraph"/>
        <w:numPr>
          <w:ilvl w:val="1"/>
          <w:numId w:val="4"/>
        </w:numPr>
        <w:tabs>
          <w:tab w:pos="1920" w:val="left" w:leader="none"/>
        </w:tabs>
        <w:spacing w:line="237" w:lineRule="auto" w:before="45" w:after="0"/>
        <w:ind w:left="1920" w:right="1330" w:hanging="360"/>
        <w:jc w:val="left"/>
        <w:rPr>
          <w:sz w:val="24"/>
        </w:rPr>
      </w:pPr>
      <w:r>
        <w:rPr>
          <w:sz w:val="24"/>
        </w:rPr>
        <w:t>the</w:t>
      </w:r>
      <w:r>
        <w:rPr>
          <w:spacing w:val="-4"/>
          <w:sz w:val="24"/>
        </w:rPr>
        <w:t> </w:t>
      </w:r>
      <w:r>
        <w:rPr>
          <w:sz w:val="24"/>
        </w:rPr>
        <w:t>amount</w:t>
      </w:r>
      <w:r>
        <w:rPr>
          <w:spacing w:val="-3"/>
          <w:sz w:val="24"/>
        </w:rPr>
        <w:t> </w:t>
      </w:r>
      <w:r>
        <w:rPr>
          <w:sz w:val="24"/>
        </w:rPr>
        <w:t>of</w:t>
      </w:r>
      <w:r>
        <w:rPr>
          <w:spacing w:val="-4"/>
          <w:sz w:val="24"/>
        </w:rPr>
        <w:t> </w:t>
      </w:r>
      <w:r>
        <w:rPr>
          <w:sz w:val="24"/>
        </w:rPr>
        <w:t>the</w:t>
      </w:r>
      <w:r>
        <w:rPr>
          <w:spacing w:val="-5"/>
          <w:sz w:val="24"/>
        </w:rPr>
        <w:t> </w:t>
      </w:r>
      <w:r>
        <w:rPr>
          <w:sz w:val="24"/>
        </w:rPr>
        <w:t>monthly</w:t>
      </w:r>
      <w:r>
        <w:rPr>
          <w:spacing w:val="-3"/>
          <w:sz w:val="24"/>
        </w:rPr>
        <w:t> </w:t>
      </w:r>
      <w:r>
        <w:rPr>
          <w:sz w:val="24"/>
        </w:rPr>
        <w:t>subsidy</w:t>
      </w:r>
      <w:r>
        <w:rPr>
          <w:spacing w:val="-3"/>
          <w:sz w:val="24"/>
        </w:rPr>
        <w:t> </w:t>
      </w:r>
      <w:r>
        <w:rPr>
          <w:sz w:val="24"/>
        </w:rPr>
        <w:t>which</w:t>
      </w:r>
      <w:r>
        <w:rPr>
          <w:spacing w:val="-3"/>
          <w:sz w:val="24"/>
        </w:rPr>
        <w:t> </w:t>
      </w:r>
      <w:r>
        <w:rPr>
          <w:sz w:val="24"/>
        </w:rPr>
        <w:t>shall</w:t>
      </w:r>
      <w:r>
        <w:rPr>
          <w:spacing w:val="-3"/>
          <w:sz w:val="24"/>
        </w:rPr>
        <w:t> </w:t>
      </w:r>
      <w:r>
        <w:rPr>
          <w:sz w:val="24"/>
        </w:rPr>
        <w:t>include</w:t>
      </w:r>
      <w:r>
        <w:rPr>
          <w:spacing w:val="-4"/>
          <w:sz w:val="24"/>
        </w:rPr>
        <w:t> </w:t>
      </w:r>
      <w:r>
        <w:rPr>
          <w:sz w:val="24"/>
        </w:rPr>
        <w:t>any</w:t>
      </w:r>
      <w:r>
        <w:rPr>
          <w:spacing w:val="-3"/>
          <w:sz w:val="24"/>
        </w:rPr>
        <w:t> </w:t>
      </w:r>
      <w:r>
        <w:rPr>
          <w:sz w:val="24"/>
        </w:rPr>
        <w:t>amounts</w:t>
      </w:r>
      <w:r>
        <w:rPr>
          <w:spacing w:val="-3"/>
          <w:sz w:val="24"/>
        </w:rPr>
        <w:t> </w:t>
      </w:r>
      <w:r>
        <w:rPr>
          <w:sz w:val="24"/>
        </w:rPr>
        <w:t>from</w:t>
      </w:r>
      <w:r>
        <w:rPr>
          <w:spacing w:val="-3"/>
          <w:sz w:val="24"/>
        </w:rPr>
        <w:t> </w:t>
      </w:r>
      <w:r>
        <w:rPr>
          <w:sz w:val="24"/>
        </w:rPr>
        <w:t>the Operating Fund and Capital Fund under section 9 used for the unit.</w:t>
      </w:r>
    </w:p>
    <w:p>
      <w:pPr>
        <w:pStyle w:val="BodyText"/>
        <w:spacing w:before="4"/>
        <w:rPr>
          <w:sz w:val="23"/>
        </w:rPr>
      </w:pPr>
      <w:r>
        <w:rPr/>
        <w:pict>
          <v:rect style="position:absolute;margin-left:72pt;margin-top:14.645029pt;width:144pt;height:.72pt;mso-position-horizontal-relative:page;mso-position-vertical-relative:paragraph;z-index:-15725568;mso-wrap-distance-left:0;mso-wrap-distance-right:0" id="docshape9" filled="true" fillcolor="#000000" stroked="false">
            <v:fill type="solid"/>
            <w10:wrap type="topAndBottom"/>
          </v:rect>
        </w:pict>
      </w:r>
    </w:p>
    <w:p>
      <w:pPr>
        <w:spacing w:before="100"/>
        <w:ind w:left="120" w:right="0" w:firstLine="0"/>
        <w:jc w:val="left"/>
        <w:rPr>
          <w:sz w:val="16"/>
        </w:rPr>
      </w:pPr>
      <w:hyperlink w:history="true" w:anchor="_bookmark22">
        <w:r>
          <w:rPr>
            <w:sz w:val="16"/>
            <w:vertAlign w:val="superscript"/>
          </w:rPr>
          <w:t>7</w:t>
        </w:r>
      </w:hyperlink>
      <w:r>
        <w:rPr>
          <w:spacing w:val="-1"/>
          <w:sz w:val="16"/>
          <w:vertAlign w:val="baseline"/>
        </w:rPr>
        <w:t> </w:t>
      </w:r>
      <w:bookmarkStart w:name="_bookmark24" w:id="35"/>
      <w:bookmarkEnd w:id="35"/>
      <w:r>
        <w:rPr>
          <w:sz w:val="16"/>
          <w:vertAlign w:val="baseline"/>
        </w:rPr>
      </w:r>
      <w:bookmarkStart w:name="_bookmark25" w:id="36"/>
      <w:bookmarkEnd w:id="36"/>
      <w:r>
        <w:rPr>
          <w:sz w:val="16"/>
          <w:vertAlign w:val="baseline"/>
        </w:rPr>
        <w:t>2</w:t>
      </w:r>
      <w:r>
        <w:rPr>
          <w:sz w:val="16"/>
          <w:vertAlign w:val="baseline"/>
        </w:rPr>
        <w:t>4</w:t>
      </w:r>
      <w:r>
        <w:rPr>
          <w:spacing w:val="-1"/>
          <w:sz w:val="16"/>
          <w:vertAlign w:val="baseline"/>
        </w:rPr>
        <w:t> </w:t>
      </w:r>
      <w:r>
        <w:rPr>
          <w:sz w:val="16"/>
          <w:vertAlign w:val="baseline"/>
        </w:rPr>
        <w:t>CFR</w:t>
      </w:r>
      <w:r>
        <w:rPr>
          <w:spacing w:val="-2"/>
          <w:sz w:val="16"/>
          <w:vertAlign w:val="baseline"/>
        </w:rPr>
        <w:t> 960.507(a)</w:t>
      </w:r>
    </w:p>
    <w:p>
      <w:pPr>
        <w:spacing w:before="1"/>
        <w:ind w:left="120" w:right="0" w:firstLine="0"/>
        <w:jc w:val="left"/>
        <w:rPr>
          <w:sz w:val="16"/>
        </w:rPr>
      </w:pPr>
      <w:hyperlink w:history="true" w:anchor="_bookmark23">
        <w:r>
          <w:rPr>
            <w:sz w:val="16"/>
            <w:vertAlign w:val="superscript"/>
          </w:rPr>
          <w:t>8</w:t>
        </w:r>
      </w:hyperlink>
      <w:r>
        <w:rPr>
          <w:spacing w:val="-1"/>
          <w:sz w:val="16"/>
          <w:vertAlign w:val="baseline"/>
        </w:rPr>
        <w:t> </w:t>
      </w:r>
      <w:r>
        <w:rPr>
          <w:sz w:val="16"/>
          <w:vertAlign w:val="baseline"/>
        </w:rPr>
        <w:t>24</w:t>
      </w:r>
      <w:r>
        <w:rPr>
          <w:spacing w:val="-1"/>
          <w:sz w:val="16"/>
          <w:vertAlign w:val="baseline"/>
        </w:rPr>
        <w:t> </w:t>
      </w:r>
      <w:r>
        <w:rPr>
          <w:sz w:val="16"/>
          <w:vertAlign w:val="baseline"/>
        </w:rPr>
        <w:t>CFR</w:t>
      </w:r>
      <w:r>
        <w:rPr>
          <w:spacing w:val="-2"/>
          <w:sz w:val="16"/>
          <w:vertAlign w:val="baseline"/>
        </w:rPr>
        <w:t> 960.507(a)</w:t>
      </w:r>
    </w:p>
    <w:p>
      <w:pPr>
        <w:spacing w:after="0"/>
        <w:jc w:val="left"/>
        <w:rPr>
          <w:sz w:val="16"/>
        </w:rPr>
        <w:sectPr>
          <w:pgSz w:w="12240" w:h="15840"/>
          <w:pgMar w:header="0" w:footer="1033" w:top="1680" w:bottom="1220" w:left="1320" w:right="240"/>
        </w:sectPr>
      </w:pPr>
    </w:p>
    <w:p>
      <w:pPr>
        <w:pStyle w:val="BodyText"/>
        <w:spacing w:before="72"/>
        <w:ind w:left="120"/>
      </w:pPr>
      <w:r>
        <w:rPr>
          <w:spacing w:val="-5"/>
        </w:rPr>
        <w:t>OR</w:t>
      </w:r>
    </w:p>
    <w:p>
      <w:pPr>
        <w:pStyle w:val="ListParagraph"/>
        <w:numPr>
          <w:ilvl w:val="0"/>
          <w:numId w:val="4"/>
        </w:numPr>
        <w:tabs>
          <w:tab w:pos="1200" w:val="left" w:leader="none"/>
        </w:tabs>
        <w:spacing w:line="237" w:lineRule="auto" w:before="48" w:after="0"/>
        <w:ind w:left="1200" w:right="1389" w:hanging="360"/>
        <w:jc w:val="left"/>
        <w:rPr>
          <w:sz w:val="24"/>
        </w:rPr>
      </w:pPr>
      <w:r>
        <w:rPr>
          <w:sz w:val="24"/>
        </w:rPr>
        <w:t>Terminate</w:t>
      </w:r>
      <w:r>
        <w:rPr>
          <w:spacing w:val="-5"/>
          <w:sz w:val="24"/>
        </w:rPr>
        <w:t> </w:t>
      </w:r>
      <w:r>
        <w:rPr>
          <w:sz w:val="24"/>
        </w:rPr>
        <w:t>the</w:t>
      </w:r>
      <w:r>
        <w:rPr>
          <w:spacing w:val="-4"/>
          <w:sz w:val="24"/>
        </w:rPr>
        <w:t> </w:t>
      </w:r>
      <w:r>
        <w:rPr>
          <w:sz w:val="24"/>
        </w:rPr>
        <w:t>tenancy</w:t>
      </w:r>
      <w:r>
        <w:rPr>
          <w:spacing w:val="-3"/>
          <w:sz w:val="24"/>
        </w:rPr>
        <w:t> </w:t>
      </w:r>
      <w:r>
        <w:rPr>
          <w:sz w:val="24"/>
        </w:rPr>
        <w:t>of</w:t>
      </w:r>
      <w:r>
        <w:rPr>
          <w:spacing w:val="-2"/>
          <w:sz w:val="24"/>
        </w:rPr>
        <w:t> </w:t>
      </w:r>
      <w:r>
        <w:rPr>
          <w:sz w:val="24"/>
        </w:rPr>
        <w:t>such</w:t>
      </w:r>
      <w:r>
        <w:rPr>
          <w:spacing w:val="-3"/>
          <w:sz w:val="24"/>
        </w:rPr>
        <w:t> </w:t>
      </w:r>
      <w:r>
        <w:rPr>
          <w:sz w:val="24"/>
        </w:rPr>
        <w:t>family</w:t>
      </w:r>
      <w:r>
        <w:rPr>
          <w:spacing w:val="-3"/>
          <w:sz w:val="24"/>
        </w:rPr>
        <w:t> </w:t>
      </w:r>
      <w:r>
        <w:rPr>
          <w:sz w:val="24"/>
        </w:rPr>
        <w:t>in</w:t>
      </w:r>
      <w:r>
        <w:rPr>
          <w:spacing w:val="-3"/>
          <w:sz w:val="24"/>
        </w:rPr>
        <w:t> </w:t>
      </w:r>
      <w:r>
        <w:rPr>
          <w:sz w:val="24"/>
        </w:rPr>
        <w:t>public</w:t>
      </w:r>
      <w:r>
        <w:rPr>
          <w:spacing w:val="-5"/>
          <w:sz w:val="24"/>
        </w:rPr>
        <w:t> </w:t>
      </w:r>
      <w:r>
        <w:rPr>
          <w:sz w:val="24"/>
        </w:rPr>
        <w:t>housing</w:t>
      </w:r>
      <w:r>
        <w:rPr>
          <w:spacing w:val="-3"/>
          <w:sz w:val="24"/>
        </w:rPr>
        <w:t> </w:t>
      </w:r>
      <w:r>
        <w:rPr>
          <w:sz w:val="24"/>
        </w:rPr>
        <w:t>not</w:t>
      </w:r>
      <w:r>
        <w:rPr>
          <w:spacing w:val="-3"/>
          <w:sz w:val="24"/>
        </w:rPr>
        <w:t> </w:t>
      </w:r>
      <w:r>
        <w:rPr>
          <w:sz w:val="24"/>
        </w:rPr>
        <w:t>later</w:t>
      </w:r>
      <w:r>
        <w:rPr>
          <w:spacing w:val="-4"/>
          <w:sz w:val="24"/>
        </w:rPr>
        <w:t> </w:t>
      </w:r>
      <w:r>
        <w:rPr>
          <w:sz w:val="24"/>
        </w:rPr>
        <w:t>than</w:t>
      </w:r>
      <w:r>
        <w:rPr>
          <w:spacing w:val="-3"/>
          <w:sz w:val="24"/>
        </w:rPr>
        <w:t> </w:t>
      </w:r>
      <w:r>
        <w:rPr>
          <w:sz w:val="24"/>
        </w:rPr>
        <w:t>6</w:t>
      </w:r>
      <w:r>
        <w:rPr>
          <w:spacing w:val="-3"/>
          <w:sz w:val="24"/>
        </w:rPr>
        <w:t> </w:t>
      </w:r>
      <w:r>
        <w:rPr>
          <w:sz w:val="24"/>
        </w:rPr>
        <w:t>months</w:t>
      </w:r>
      <w:r>
        <w:rPr>
          <w:spacing w:val="-3"/>
          <w:sz w:val="24"/>
        </w:rPr>
        <w:t> </w:t>
      </w:r>
      <w:r>
        <w:rPr>
          <w:sz w:val="24"/>
        </w:rPr>
        <w:t>after the inc</w:t>
      </w:r>
      <w:bookmarkStart w:name="_bookmark26" w:id="37"/>
      <w:bookmarkEnd w:id="37"/>
      <w:r>
        <w:rPr>
          <w:sz w:val="24"/>
        </w:rPr>
        <w:t>ome</w:t>
      </w:r>
      <w:r>
        <w:rPr>
          <w:sz w:val="24"/>
        </w:rPr>
        <w:t> determination confirming that the family has been over-income for 24 consecutive months.</w:t>
      </w:r>
      <w:hyperlink w:history="true" w:anchor="_bookmark28">
        <w:r>
          <w:rPr>
            <w:sz w:val="24"/>
            <w:vertAlign w:val="superscript"/>
          </w:rPr>
          <w:t>9</w:t>
        </w:r>
      </w:hyperlink>
    </w:p>
    <w:p>
      <w:pPr>
        <w:pStyle w:val="BodyText"/>
        <w:spacing w:before="9"/>
        <w:rPr>
          <w:sz w:val="23"/>
        </w:rPr>
      </w:pPr>
    </w:p>
    <w:p>
      <w:pPr>
        <w:pStyle w:val="BodyText"/>
        <w:spacing w:line="237" w:lineRule="auto" w:before="92"/>
        <w:ind w:left="120" w:right="1204"/>
      </w:pPr>
      <w:r>
        <w:rPr/>
        <w:t>Additional</w:t>
      </w:r>
      <w:r>
        <w:rPr>
          <w:spacing w:val="-4"/>
        </w:rPr>
        <w:t> </w:t>
      </w:r>
      <w:r>
        <w:rPr/>
        <w:t>details</w:t>
      </w:r>
      <w:r>
        <w:rPr>
          <w:spacing w:val="-4"/>
        </w:rPr>
        <w:t> </w:t>
      </w:r>
      <w:r>
        <w:rPr/>
        <w:t>for</w:t>
      </w:r>
      <w:r>
        <w:rPr>
          <w:spacing w:val="-5"/>
        </w:rPr>
        <w:t> </w:t>
      </w:r>
      <w:r>
        <w:rPr/>
        <w:t>the</w:t>
      </w:r>
      <w:r>
        <w:rPr>
          <w:spacing w:val="-3"/>
        </w:rPr>
        <w:t> </w:t>
      </w:r>
      <w:r>
        <w:rPr/>
        <w:t>above-mentioned</w:t>
      </w:r>
      <w:r>
        <w:rPr>
          <w:spacing w:val="-4"/>
        </w:rPr>
        <w:t> </w:t>
      </w:r>
      <w:r>
        <w:rPr/>
        <w:t>process</w:t>
      </w:r>
      <w:r>
        <w:rPr>
          <w:spacing w:val="-4"/>
        </w:rPr>
        <w:t> </w:t>
      </w:r>
      <w:r>
        <w:rPr/>
        <w:t>are</w:t>
      </w:r>
      <w:r>
        <w:rPr>
          <w:spacing w:val="-5"/>
        </w:rPr>
        <w:t> </w:t>
      </w:r>
      <w:r>
        <w:rPr/>
        <w:t>discussed</w:t>
      </w:r>
      <w:r>
        <w:rPr>
          <w:spacing w:val="-4"/>
        </w:rPr>
        <w:t> </w:t>
      </w:r>
      <w:r>
        <w:rPr/>
        <w:t>below.</w:t>
      </w:r>
      <w:r>
        <w:rPr>
          <w:spacing w:val="-4"/>
        </w:rPr>
        <w:t> </w:t>
      </w:r>
      <w:r>
        <w:rPr/>
        <w:t>PHAs</w:t>
      </w:r>
      <w:r>
        <w:rPr>
          <w:spacing w:val="-4"/>
        </w:rPr>
        <w:t> </w:t>
      </w:r>
      <w:r>
        <w:rPr/>
        <w:t>should</w:t>
      </w:r>
      <w:r>
        <w:rPr>
          <w:spacing w:val="-4"/>
        </w:rPr>
        <w:t> </w:t>
      </w:r>
      <w:r>
        <w:rPr/>
        <w:t>read</w:t>
      </w:r>
      <w:r>
        <w:rPr>
          <w:spacing w:val="-4"/>
        </w:rPr>
        <w:t> </w:t>
      </w:r>
      <w:r>
        <w:rPr/>
        <w:t>the entire notice before pursuing action against any potential OI family. Additionally, appendix I contains a</w:t>
      </w:r>
      <w:r>
        <w:rPr>
          <w:spacing w:val="-1"/>
        </w:rPr>
        <w:t> </w:t>
      </w:r>
      <w:r>
        <w:rPr/>
        <w:t>one-page condensation of the</w:t>
      </w:r>
      <w:r>
        <w:rPr>
          <w:spacing w:val="-1"/>
        </w:rPr>
        <w:t> </w:t>
      </w:r>
      <w:r>
        <w:rPr/>
        <w:t>above-mentioned process for ease of use by the</w:t>
      </w:r>
      <w:r>
        <w:rPr>
          <w:spacing w:val="-1"/>
        </w:rPr>
        <w:t> </w:t>
      </w:r>
      <w:r>
        <w:rPr/>
        <w:t>PHA.</w:t>
      </w:r>
    </w:p>
    <w:p>
      <w:pPr>
        <w:pStyle w:val="BodyText"/>
        <w:spacing w:before="7"/>
        <w:rPr>
          <w:sz w:val="31"/>
        </w:rPr>
      </w:pPr>
    </w:p>
    <w:p>
      <w:pPr>
        <w:pStyle w:val="ListParagraph"/>
        <w:numPr>
          <w:ilvl w:val="1"/>
          <w:numId w:val="2"/>
        </w:numPr>
        <w:tabs>
          <w:tab w:pos="1560" w:val="left" w:leader="none"/>
        </w:tabs>
        <w:spacing w:line="240" w:lineRule="auto" w:before="0" w:after="0"/>
        <w:ind w:left="1560" w:right="0" w:hanging="360"/>
        <w:jc w:val="left"/>
        <w:rPr>
          <w:sz w:val="24"/>
        </w:rPr>
      </w:pPr>
      <w:bookmarkStart w:name="d. End of the grace period and Status of" w:id="38"/>
      <w:bookmarkEnd w:id="38"/>
      <w:r>
        <w:rPr/>
      </w:r>
      <w:bookmarkStart w:name="_bookmark27" w:id="39"/>
      <w:bookmarkEnd w:id="39"/>
      <w:r>
        <w:rPr>
          <w:sz w:val="24"/>
        </w:rPr>
        <w:t>E</w:t>
      </w:r>
      <w:r>
        <w:rPr>
          <w:sz w:val="24"/>
        </w:rPr>
        <w:t>nd</w:t>
      </w:r>
      <w:r>
        <w:rPr>
          <w:spacing w:val="-3"/>
          <w:sz w:val="24"/>
        </w:rPr>
        <w:t> </w:t>
      </w:r>
      <w:r>
        <w:rPr>
          <w:sz w:val="24"/>
        </w:rPr>
        <w:t>of</w:t>
      </w:r>
      <w:r>
        <w:rPr>
          <w:spacing w:val="-3"/>
          <w:sz w:val="24"/>
        </w:rPr>
        <w:t> </w:t>
      </w:r>
      <w:r>
        <w:rPr>
          <w:sz w:val="24"/>
        </w:rPr>
        <w:t>the</w:t>
      </w:r>
      <w:r>
        <w:rPr>
          <w:spacing w:val="-2"/>
          <w:sz w:val="24"/>
        </w:rPr>
        <w:t> </w:t>
      </w:r>
      <w:r>
        <w:rPr>
          <w:sz w:val="24"/>
        </w:rPr>
        <w:t>grace</w:t>
      </w:r>
      <w:r>
        <w:rPr>
          <w:spacing w:val="-2"/>
          <w:sz w:val="24"/>
        </w:rPr>
        <w:t> </w:t>
      </w:r>
      <w:r>
        <w:rPr>
          <w:sz w:val="24"/>
        </w:rPr>
        <w:t>period</w:t>
      </w:r>
      <w:r>
        <w:rPr>
          <w:spacing w:val="-1"/>
          <w:sz w:val="24"/>
        </w:rPr>
        <w:t> </w:t>
      </w:r>
      <w:r>
        <w:rPr>
          <w:sz w:val="24"/>
        </w:rPr>
        <w:t>and</w:t>
      </w:r>
      <w:r>
        <w:rPr>
          <w:spacing w:val="-1"/>
          <w:sz w:val="24"/>
        </w:rPr>
        <w:t> </w:t>
      </w:r>
      <w:r>
        <w:rPr>
          <w:sz w:val="24"/>
        </w:rPr>
        <w:t>Status</w:t>
      </w:r>
      <w:r>
        <w:rPr>
          <w:spacing w:val="-1"/>
          <w:sz w:val="24"/>
        </w:rPr>
        <w:t> </w:t>
      </w:r>
      <w:r>
        <w:rPr>
          <w:sz w:val="24"/>
        </w:rPr>
        <w:t>of</w:t>
      </w:r>
      <w:r>
        <w:rPr>
          <w:spacing w:val="-1"/>
          <w:sz w:val="24"/>
        </w:rPr>
        <w:t> </w:t>
      </w:r>
      <w:r>
        <w:rPr>
          <w:sz w:val="24"/>
        </w:rPr>
        <w:t>an</w:t>
      </w:r>
      <w:r>
        <w:rPr>
          <w:spacing w:val="-2"/>
          <w:sz w:val="24"/>
        </w:rPr>
        <w:t> </w:t>
      </w:r>
      <w:r>
        <w:rPr>
          <w:sz w:val="24"/>
        </w:rPr>
        <w:t>Over-Income</w:t>
      </w:r>
      <w:r>
        <w:rPr>
          <w:spacing w:val="-3"/>
          <w:sz w:val="24"/>
        </w:rPr>
        <w:t> </w:t>
      </w:r>
      <w:r>
        <w:rPr>
          <w:spacing w:val="-2"/>
          <w:sz w:val="24"/>
        </w:rPr>
        <w:t>Family</w:t>
      </w:r>
    </w:p>
    <w:p>
      <w:pPr>
        <w:pStyle w:val="BodyText"/>
        <w:spacing w:line="237" w:lineRule="auto" w:before="65"/>
        <w:ind w:left="120" w:right="1204"/>
      </w:pPr>
      <w:r>
        <w:rPr/>
        <w:t>This section describes the actions a PHA must take at the end of the grace period for over- income families. PHAs must ensure that OI families receive a grace period of 24 consecutive months</w:t>
      </w:r>
      <w:r>
        <w:rPr>
          <w:spacing w:val="-3"/>
        </w:rPr>
        <w:t> </w:t>
      </w:r>
      <w:r>
        <w:rPr/>
        <w:t>before</w:t>
      </w:r>
      <w:r>
        <w:rPr>
          <w:spacing w:val="-5"/>
        </w:rPr>
        <w:t> </w:t>
      </w:r>
      <w:r>
        <w:rPr/>
        <w:t>any</w:t>
      </w:r>
      <w:r>
        <w:rPr>
          <w:spacing w:val="-1"/>
        </w:rPr>
        <w:t> </w:t>
      </w:r>
      <w:r>
        <w:rPr/>
        <w:t>adverse</w:t>
      </w:r>
      <w:r>
        <w:rPr>
          <w:spacing w:val="-5"/>
        </w:rPr>
        <w:t> </w:t>
      </w:r>
      <w:r>
        <w:rPr/>
        <w:t>action</w:t>
      </w:r>
      <w:r>
        <w:rPr>
          <w:spacing w:val="-3"/>
        </w:rPr>
        <w:t> </w:t>
      </w:r>
      <w:r>
        <w:rPr/>
        <w:t>is</w:t>
      </w:r>
      <w:r>
        <w:rPr>
          <w:spacing w:val="-3"/>
        </w:rPr>
        <w:t> </w:t>
      </w:r>
      <w:r>
        <w:rPr/>
        <w:t>taken</w:t>
      </w:r>
      <w:r>
        <w:rPr>
          <w:spacing w:val="-3"/>
        </w:rPr>
        <w:t> </w:t>
      </w:r>
      <w:r>
        <w:rPr/>
        <w:t>because</w:t>
      </w:r>
      <w:r>
        <w:rPr>
          <w:spacing w:val="-4"/>
        </w:rPr>
        <w:t> </w:t>
      </w:r>
      <w:r>
        <w:rPr/>
        <w:t>of</w:t>
      </w:r>
      <w:r>
        <w:rPr>
          <w:spacing w:val="-4"/>
        </w:rPr>
        <w:t> </w:t>
      </w:r>
      <w:r>
        <w:rPr/>
        <w:t>the</w:t>
      </w:r>
      <w:r>
        <w:rPr>
          <w:spacing w:val="-4"/>
        </w:rPr>
        <w:t> </w:t>
      </w:r>
      <w:r>
        <w:rPr/>
        <w:t>family</w:t>
      </w:r>
      <w:r>
        <w:rPr>
          <w:spacing w:val="-3"/>
        </w:rPr>
        <w:t> </w:t>
      </w:r>
      <w:r>
        <w:rPr/>
        <w:t>being</w:t>
      </w:r>
      <w:r>
        <w:rPr>
          <w:spacing w:val="-3"/>
        </w:rPr>
        <w:t> </w:t>
      </w:r>
      <w:r>
        <w:rPr/>
        <w:t>over-income.</w:t>
      </w:r>
      <w:r>
        <w:rPr>
          <w:spacing w:val="-3"/>
        </w:rPr>
        <w:t> </w:t>
      </w:r>
      <w:r>
        <w:rPr/>
        <w:t>A</w:t>
      </w:r>
      <w:r>
        <w:rPr>
          <w:spacing w:val="-4"/>
        </w:rPr>
        <w:t> </w:t>
      </w:r>
      <w:r>
        <w:rPr/>
        <w:t>PHA</w:t>
      </w:r>
      <w:r>
        <w:rPr>
          <w:spacing w:val="-2"/>
        </w:rPr>
        <w:t> </w:t>
      </w:r>
      <w:r>
        <w:rPr/>
        <w:t>can find these requirements in the regulations at 24 CFR 960.507 and 960.509.</w:t>
      </w:r>
    </w:p>
    <w:p>
      <w:pPr>
        <w:pStyle w:val="BodyText"/>
        <w:spacing w:before="10"/>
        <w:rPr>
          <w:sz w:val="31"/>
        </w:rPr>
      </w:pPr>
    </w:p>
    <w:p>
      <w:pPr>
        <w:pStyle w:val="BodyText"/>
        <w:spacing w:line="237" w:lineRule="auto"/>
        <w:ind w:left="120" w:right="1204"/>
      </w:pPr>
      <w:r>
        <w:rPr/>
        <w:t>Once a public housing family is determined to be over-income pursuant to an annual reexamination</w:t>
      </w:r>
      <w:r>
        <w:rPr>
          <w:spacing w:val="-3"/>
        </w:rPr>
        <w:t> </w:t>
      </w:r>
      <w:r>
        <w:rPr/>
        <w:t>or</w:t>
      </w:r>
      <w:r>
        <w:rPr>
          <w:spacing w:val="-2"/>
        </w:rPr>
        <w:t> </w:t>
      </w:r>
      <w:r>
        <w:rPr/>
        <w:t>an</w:t>
      </w:r>
      <w:r>
        <w:rPr>
          <w:spacing w:val="-3"/>
        </w:rPr>
        <w:t> </w:t>
      </w:r>
      <w:r>
        <w:rPr/>
        <w:t>interim</w:t>
      </w:r>
      <w:r>
        <w:rPr>
          <w:spacing w:val="-3"/>
        </w:rPr>
        <w:t> </w:t>
      </w:r>
      <w:r>
        <w:rPr/>
        <w:t>reexamination,</w:t>
      </w:r>
      <w:r>
        <w:rPr>
          <w:spacing w:val="-3"/>
        </w:rPr>
        <w:t> </w:t>
      </w:r>
      <w:r>
        <w:rPr/>
        <w:t>the</w:t>
      </w:r>
      <w:r>
        <w:rPr>
          <w:spacing w:val="-4"/>
        </w:rPr>
        <w:t> </w:t>
      </w:r>
      <w:r>
        <w:rPr/>
        <w:t>24</w:t>
      </w:r>
      <w:r>
        <w:rPr>
          <w:spacing w:val="-1"/>
        </w:rPr>
        <w:t> </w:t>
      </w:r>
      <w:r>
        <w:rPr/>
        <w:t>consecutive</w:t>
      </w:r>
      <w:r>
        <w:rPr>
          <w:spacing w:val="-4"/>
        </w:rPr>
        <w:t> </w:t>
      </w:r>
      <w:r>
        <w:rPr/>
        <w:t>month</w:t>
      </w:r>
      <w:r>
        <w:rPr>
          <w:spacing w:val="-3"/>
        </w:rPr>
        <w:t> </w:t>
      </w:r>
      <w:r>
        <w:rPr/>
        <w:t>grace</w:t>
      </w:r>
      <w:r>
        <w:rPr>
          <w:spacing w:val="-2"/>
        </w:rPr>
        <w:t> </w:t>
      </w:r>
      <w:r>
        <w:rPr/>
        <w:t>period</w:t>
      </w:r>
      <w:r>
        <w:rPr>
          <w:spacing w:val="-3"/>
        </w:rPr>
        <w:t> </w:t>
      </w:r>
      <w:r>
        <w:rPr/>
        <w:t>begins.</w:t>
      </w:r>
      <w:r>
        <w:rPr>
          <w:spacing w:val="-3"/>
        </w:rPr>
        <w:t> </w:t>
      </w:r>
      <w:r>
        <w:rPr/>
        <w:t>At</w:t>
      </w:r>
      <w:r>
        <w:rPr>
          <w:spacing w:val="-3"/>
        </w:rPr>
        <w:t> </w:t>
      </w:r>
      <w:r>
        <w:rPr/>
        <w:t>all times prior to the end of 24 consecutive months, the family will continue to be public housing program participants. The change in OI</w:t>
      </w:r>
      <w:r>
        <w:rPr>
          <w:spacing w:val="-1"/>
        </w:rPr>
        <w:t> </w:t>
      </w:r>
      <w:r>
        <w:rPr/>
        <w:t>family status will vary based on the over-income policy selected by the PHA.</w:t>
      </w:r>
    </w:p>
    <w:p>
      <w:pPr>
        <w:pStyle w:val="BodyText"/>
        <w:spacing w:before="5"/>
        <w:rPr>
          <w:sz w:val="31"/>
        </w:rPr>
      </w:pPr>
    </w:p>
    <w:p>
      <w:pPr>
        <w:spacing w:before="0"/>
        <w:ind w:left="120" w:right="0" w:firstLine="0"/>
        <w:jc w:val="left"/>
        <w:rPr>
          <w:i/>
          <w:sz w:val="24"/>
        </w:rPr>
      </w:pPr>
      <w:r>
        <w:rPr>
          <w:i/>
          <w:sz w:val="24"/>
        </w:rPr>
        <w:t>PHA</w:t>
      </w:r>
      <w:r>
        <w:rPr>
          <w:i/>
          <w:spacing w:val="-5"/>
          <w:sz w:val="24"/>
        </w:rPr>
        <w:t> </w:t>
      </w:r>
      <w:r>
        <w:rPr>
          <w:i/>
          <w:sz w:val="24"/>
        </w:rPr>
        <w:t>policy</w:t>
      </w:r>
      <w:r>
        <w:rPr>
          <w:i/>
          <w:spacing w:val="-6"/>
          <w:sz w:val="24"/>
        </w:rPr>
        <w:t> </w:t>
      </w:r>
      <w:r>
        <w:rPr>
          <w:i/>
          <w:sz w:val="24"/>
        </w:rPr>
        <w:t>terminating</w:t>
      </w:r>
      <w:r>
        <w:rPr>
          <w:i/>
          <w:spacing w:val="-4"/>
          <w:sz w:val="24"/>
        </w:rPr>
        <w:t> </w:t>
      </w:r>
      <w:r>
        <w:rPr>
          <w:i/>
          <w:sz w:val="24"/>
        </w:rPr>
        <w:t>the</w:t>
      </w:r>
      <w:r>
        <w:rPr>
          <w:i/>
          <w:spacing w:val="-5"/>
          <w:sz w:val="24"/>
        </w:rPr>
        <w:t> </w:t>
      </w:r>
      <w:r>
        <w:rPr>
          <w:i/>
          <w:sz w:val="24"/>
        </w:rPr>
        <w:t>tenancy</w:t>
      </w:r>
      <w:r>
        <w:rPr>
          <w:i/>
          <w:spacing w:val="-5"/>
          <w:sz w:val="24"/>
        </w:rPr>
        <w:t> </w:t>
      </w:r>
      <w:r>
        <w:rPr>
          <w:i/>
          <w:sz w:val="24"/>
        </w:rPr>
        <w:t>of</w:t>
      </w:r>
      <w:r>
        <w:rPr>
          <w:i/>
          <w:spacing w:val="-4"/>
          <w:sz w:val="24"/>
        </w:rPr>
        <w:t> </w:t>
      </w:r>
      <w:r>
        <w:rPr>
          <w:i/>
          <w:sz w:val="24"/>
        </w:rPr>
        <w:t>Over-Income</w:t>
      </w:r>
      <w:r>
        <w:rPr>
          <w:i/>
          <w:spacing w:val="-5"/>
          <w:sz w:val="24"/>
        </w:rPr>
        <w:t> </w:t>
      </w:r>
      <w:r>
        <w:rPr>
          <w:i/>
          <w:spacing w:val="-2"/>
          <w:sz w:val="24"/>
        </w:rPr>
        <w:t>Families</w:t>
      </w:r>
    </w:p>
    <w:p>
      <w:pPr>
        <w:pStyle w:val="BodyText"/>
        <w:spacing w:line="237" w:lineRule="auto" w:before="48"/>
        <w:ind w:left="120" w:right="1233"/>
      </w:pPr>
      <w:r>
        <w:rPr/>
        <w:t>In the case of a PHA with a policy to terminate OI families, these families continue to be public housing program participants in the period before termination. It should be noted that while a PHA may choose to adopt a policy to terminate the tenancy of an OI family after the 24 consecutive</w:t>
      </w:r>
      <w:r>
        <w:rPr>
          <w:spacing w:val="-4"/>
        </w:rPr>
        <w:t> </w:t>
      </w:r>
      <w:r>
        <w:rPr/>
        <w:t>month</w:t>
      </w:r>
      <w:r>
        <w:rPr>
          <w:spacing w:val="-3"/>
        </w:rPr>
        <w:t> </w:t>
      </w:r>
      <w:r>
        <w:rPr/>
        <w:t>grace</w:t>
      </w:r>
      <w:r>
        <w:rPr>
          <w:spacing w:val="-2"/>
        </w:rPr>
        <w:t> </w:t>
      </w:r>
      <w:r>
        <w:rPr/>
        <w:t>period,</w:t>
      </w:r>
      <w:r>
        <w:rPr>
          <w:spacing w:val="-3"/>
        </w:rPr>
        <w:t> </w:t>
      </w:r>
      <w:r>
        <w:rPr/>
        <w:t>termination</w:t>
      </w:r>
      <w:r>
        <w:rPr>
          <w:spacing w:val="-3"/>
        </w:rPr>
        <w:t> </w:t>
      </w:r>
      <w:r>
        <w:rPr/>
        <w:t>of</w:t>
      </w:r>
      <w:r>
        <w:rPr>
          <w:spacing w:val="-4"/>
        </w:rPr>
        <w:t> </w:t>
      </w:r>
      <w:r>
        <w:rPr/>
        <w:t>tenancy</w:t>
      </w:r>
      <w:r>
        <w:rPr>
          <w:spacing w:val="-3"/>
        </w:rPr>
        <w:t> </w:t>
      </w:r>
      <w:r>
        <w:rPr/>
        <w:t>is</w:t>
      </w:r>
      <w:r>
        <w:rPr>
          <w:spacing w:val="-3"/>
        </w:rPr>
        <w:t> </w:t>
      </w:r>
      <w:r>
        <w:rPr/>
        <w:t>not</w:t>
      </w:r>
      <w:r>
        <w:rPr>
          <w:spacing w:val="-3"/>
        </w:rPr>
        <w:t> </w:t>
      </w:r>
      <w:r>
        <w:rPr/>
        <w:t>equivalent</w:t>
      </w:r>
      <w:r>
        <w:rPr>
          <w:spacing w:val="-3"/>
        </w:rPr>
        <w:t> </w:t>
      </w:r>
      <w:r>
        <w:rPr/>
        <w:t>to</w:t>
      </w:r>
      <w:r>
        <w:rPr>
          <w:spacing w:val="-1"/>
        </w:rPr>
        <w:t> </w:t>
      </w:r>
      <w:r>
        <w:rPr/>
        <w:t>a</w:t>
      </w:r>
      <w:r>
        <w:rPr>
          <w:spacing w:val="-5"/>
        </w:rPr>
        <w:t> </w:t>
      </w:r>
      <w:r>
        <w:rPr/>
        <w:t>judicial</w:t>
      </w:r>
      <w:r>
        <w:rPr>
          <w:spacing w:val="-3"/>
        </w:rPr>
        <w:t> </w:t>
      </w:r>
      <w:r>
        <w:rPr/>
        <w:t>eviction.</w:t>
      </w:r>
      <w:r>
        <w:rPr>
          <w:spacing w:val="-3"/>
        </w:rPr>
        <w:t> </w:t>
      </w:r>
      <w:r>
        <w:rPr/>
        <w:t>A judicial eviction typically occurs when a tenant fails to vacate the unit after their tenancy has been terminated, resulting in the need for judicial action initiated by the PHA to evict the tenant. HUD expects that once an OI family receives proper notice of termination, many will leave voluntarily without necessitating court action. PHAs should note that the period before termination can be up to six months but could be less, as defined in the PHA policy.</w:t>
      </w:r>
    </w:p>
    <w:p>
      <w:pPr>
        <w:pStyle w:val="BodyText"/>
        <w:spacing w:before="7"/>
        <w:rPr>
          <w:sz w:val="31"/>
        </w:rPr>
      </w:pPr>
    </w:p>
    <w:p>
      <w:pPr>
        <w:pStyle w:val="BodyText"/>
        <w:spacing w:line="237" w:lineRule="auto"/>
        <w:ind w:left="120" w:right="1204"/>
      </w:pPr>
      <w:r>
        <w:rPr/>
        <w:t>In the period before termination, the OI family will continue to pay the rent type of their choice (i.e., income-based, flat rent, or prorated rent for mixed families). Additionally, the OI</w:t>
      </w:r>
      <w:r>
        <w:rPr>
          <w:spacing w:val="-3"/>
        </w:rPr>
        <w:t> </w:t>
      </w:r>
      <w:r>
        <w:rPr/>
        <w:t>family is still</w:t>
      </w:r>
      <w:r>
        <w:rPr>
          <w:spacing w:val="-2"/>
        </w:rPr>
        <w:t> </w:t>
      </w:r>
      <w:r>
        <w:rPr/>
        <w:t>a</w:t>
      </w:r>
      <w:r>
        <w:rPr>
          <w:spacing w:val="-4"/>
        </w:rPr>
        <w:t> </w:t>
      </w:r>
      <w:r>
        <w:rPr/>
        <w:t>public</w:t>
      </w:r>
      <w:r>
        <w:rPr>
          <w:spacing w:val="-4"/>
        </w:rPr>
        <w:t> </w:t>
      </w:r>
      <w:r>
        <w:rPr/>
        <w:t>housing</w:t>
      </w:r>
      <w:r>
        <w:rPr>
          <w:spacing w:val="-2"/>
        </w:rPr>
        <w:t> </w:t>
      </w:r>
      <w:r>
        <w:rPr/>
        <w:t>program</w:t>
      </w:r>
      <w:r>
        <w:rPr>
          <w:spacing w:val="-2"/>
        </w:rPr>
        <w:t> </w:t>
      </w:r>
      <w:r>
        <w:rPr/>
        <w:t>participant</w:t>
      </w:r>
      <w:r>
        <w:rPr>
          <w:spacing w:val="-2"/>
        </w:rPr>
        <w:t> </w:t>
      </w:r>
      <w:r>
        <w:rPr/>
        <w:t>prior</w:t>
      </w:r>
      <w:r>
        <w:rPr>
          <w:spacing w:val="-3"/>
        </w:rPr>
        <w:t> </w:t>
      </w:r>
      <w:r>
        <w:rPr/>
        <w:t>to</w:t>
      </w:r>
      <w:r>
        <w:rPr>
          <w:spacing w:val="-2"/>
        </w:rPr>
        <w:t> </w:t>
      </w:r>
      <w:r>
        <w:rPr/>
        <w:t>termination,</w:t>
      </w:r>
      <w:r>
        <w:rPr>
          <w:spacing w:val="-2"/>
        </w:rPr>
        <w:t> </w:t>
      </w:r>
      <w:r>
        <w:rPr/>
        <w:t>so</w:t>
      </w:r>
      <w:r>
        <w:rPr>
          <w:spacing w:val="-2"/>
        </w:rPr>
        <w:t> </w:t>
      </w:r>
      <w:r>
        <w:rPr/>
        <w:t>the</w:t>
      </w:r>
      <w:r>
        <w:rPr>
          <w:spacing w:val="-3"/>
        </w:rPr>
        <w:t> </w:t>
      </w:r>
      <w:r>
        <w:rPr/>
        <w:t>OI</w:t>
      </w:r>
      <w:r>
        <w:rPr>
          <w:spacing w:val="-7"/>
        </w:rPr>
        <w:t> </w:t>
      </w:r>
      <w:r>
        <w:rPr/>
        <w:t>family</w:t>
      </w:r>
      <w:r>
        <w:rPr>
          <w:spacing w:val="-3"/>
        </w:rPr>
        <w:t> </w:t>
      </w:r>
      <w:r>
        <w:rPr/>
        <w:t>must</w:t>
      </w:r>
      <w:r>
        <w:rPr>
          <w:spacing w:val="-2"/>
        </w:rPr>
        <w:t> </w:t>
      </w:r>
      <w:r>
        <w:rPr/>
        <w:t>continue</w:t>
      </w:r>
      <w:r>
        <w:rPr>
          <w:spacing w:val="-4"/>
        </w:rPr>
        <w:t> </w:t>
      </w:r>
      <w:r>
        <w:rPr/>
        <w:t>to abide by all program requirements including the Community Service Activities or Self- Sufficiency Work Activities requirements (CSSR). Lastly, when an OI family is facing termination after exceeding the grace period, the family may request an interim reexamination, but a decrease in income and the family’s rent will not reset the period before termination or enable the family to avoid termination.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rect style="position:absolute;margin-left:72pt;margin-top:9.792725pt;width:144pt;height:.71pt;mso-position-horizontal-relative:page;mso-position-vertical-relative:paragraph;z-index:-15725056;mso-wrap-distance-left:0;mso-wrap-distance-right:0" id="docshape10" filled="true" fillcolor="#000000" stroked="false">
            <v:fill type="solid"/>
            <w10:wrap type="topAndBottom"/>
          </v:rect>
        </w:pict>
      </w:r>
    </w:p>
    <w:p>
      <w:pPr>
        <w:spacing w:before="103"/>
        <w:ind w:left="120" w:right="0" w:firstLine="0"/>
        <w:jc w:val="left"/>
        <w:rPr>
          <w:sz w:val="16"/>
        </w:rPr>
      </w:pPr>
      <w:hyperlink w:history="true" w:anchor="_bookmark26">
        <w:r>
          <w:rPr>
            <w:sz w:val="16"/>
            <w:vertAlign w:val="superscript"/>
          </w:rPr>
          <w:t>9</w:t>
        </w:r>
      </w:hyperlink>
      <w:r>
        <w:rPr>
          <w:spacing w:val="-3"/>
          <w:sz w:val="16"/>
          <w:vertAlign w:val="baseline"/>
        </w:rPr>
        <w:t> </w:t>
      </w:r>
      <w:bookmarkStart w:name="_bookmark28" w:id="40"/>
      <w:bookmarkEnd w:id="40"/>
      <w:r>
        <w:rPr>
          <w:sz w:val="16"/>
          <w:vertAlign w:val="baseline"/>
        </w:rPr>
        <w:t>2</w:t>
      </w:r>
      <w:r>
        <w:rPr>
          <w:sz w:val="16"/>
          <w:vertAlign w:val="baseline"/>
        </w:rPr>
        <w:t>4</w:t>
      </w:r>
      <w:r>
        <w:rPr>
          <w:spacing w:val="-3"/>
          <w:sz w:val="16"/>
          <w:vertAlign w:val="baseline"/>
        </w:rPr>
        <w:t> </w:t>
      </w:r>
      <w:r>
        <w:rPr>
          <w:sz w:val="16"/>
          <w:vertAlign w:val="baseline"/>
        </w:rPr>
        <w:t>CFR</w:t>
      </w:r>
      <w:r>
        <w:rPr>
          <w:spacing w:val="-4"/>
          <w:sz w:val="16"/>
          <w:vertAlign w:val="baseline"/>
        </w:rPr>
        <w:t> </w:t>
      </w:r>
      <w:r>
        <w:rPr>
          <w:sz w:val="16"/>
          <w:vertAlign w:val="baseline"/>
        </w:rPr>
        <w:t>960.507 (d)(1)</w:t>
      </w:r>
      <w:r>
        <w:rPr>
          <w:spacing w:val="-2"/>
          <w:sz w:val="16"/>
          <w:vertAlign w:val="baseline"/>
        </w:rPr>
        <w:t> </w:t>
      </w:r>
      <w:r>
        <w:rPr>
          <w:sz w:val="16"/>
          <w:vertAlign w:val="baseline"/>
        </w:rPr>
        <w:t>and</w:t>
      </w:r>
      <w:r>
        <w:rPr>
          <w:spacing w:val="-1"/>
          <w:sz w:val="16"/>
          <w:vertAlign w:val="baseline"/>
        </w:rPr>
        <w:t> </w:t>
      </w:r>
      <w:r>
        <w:rPr>
          <w:spacing w:val="-5"/>
          <w:sz w:val="16"/>
          <w:vertAlign w:val="baseline"/>
        </w:rPr>
        <w:t>(2)</w:t>
      </w:r>
    </w:p>
    <w:p>
      <w:pPr>
        <w:spacing w:after="0"/>
        <w:jc w:val="left"/>
        <w:rPr>
          <w:sz w:val="16"/>
        </w:rPr>
        <w:sectPr>
          <w:pgSz w:w="12240" w:h="15840"/>
          <w:pgMar w:header="0" w:footer="1033" w:top="1360" w:bottom="1220" w:left="1320" w:right="240"/>
        </w:sectPr>
      </w:pPr>
    </w:p>
    <w:p>
      <w:pPr>
        <w:spacing w:before="72"/>
        <w:ind w:left="120" w:right="0" w:firstLine="0"/>
        <w:jc w:val="left"/>
        <w:rPr>
          <w:i/>
          <w:sz w:val="24"/>
        </w:rPr>
      </w:pPr>
      <w:r>
        <w:rPr>
          <w:i/>
          <w:sz w:val="24"/>
        </w:rPr>
        <w:t>PHA</w:t>
      </w:r>
      <w:r>
        <w:rPr>
          <w:i/>
          <w:spacing w:val="-6"/>
          <w:sz w:val="24"/>
        </w:rPr>
        <w:t> </w:t>
      </w:r>
      <w:r>
        <w:rPr>
          <w:i/>
          <w:sz w:val="24"/>
        </w:rPr>
        <w:t>Requirements</w:t>
      </w:r>
      <w:r>
        <w:rPr>
          <w:i/>
          <w:spacing w:val="-4"/>
          <w:sz w:val="24"/>
        </w:rPr>
        <w:t> </w:t>
      </w:r>
      <w:r>
        <w:rPr>
          <w:i/>
          <w:sz w:val="24"/>
        </w:rPr>
        <w:t>for</w:t>
      </w:r>
      <w:r>
        <w:rPr>
          <w:i/>
          <w:spacing w:val="-4"/>
          <w:sz w:val="24"/>
        </w:rPr>
        <w:t> </w:t>
      </w:r>
      <w:r>
        <w:rPr>
          <w:i/>
          <w:sz w:val="24"/>
        </w:rPr>
        <w:t>NPHOI</w:t>
      </w:r>
      <w:r>
        <w:rPr>
          <w:i/>
          <w:spacing w:val="-6"/>
          <w:sz w:val="24"/>
        </w:rPr>
        <w:t> </w:t>
      </w:r>
      <w:r>
        <w:rPr>
          <w:i/>
          <w:sz w:val="24"/>
        </w:rPr>
        <w:t>Families</w:t>
      </w:r>
      <w:r>
        <w:rPr>
          <w:i/>
          <w:spacing w:val="-4"/>
          <w:sz w:val="24"/>
        </w:rPr>
        <w:t> </w:t>
      </w:r>
      <w:r>
        <w:rPr>
          <w:i/>
          <w:sz w:val="24"/>
        </w:rPr>
        <w:t>Remaining</w:t>
      </w:r>
      <w:r>
        <w:rPr>
          <w:i/>
          <w:spacing w:val="-5"/>
          <w:sz w:val="24"/>
        </w:rPr>
        <w:t> </w:t>
      </w:r>
      <w:r>
        <w:rPr>
          <w:i/>
          <w:sz w:val="24"/>
        </w:rPr>
        <w:t>in</w:t>
      </w:r>
      <w:r>
        <w:rPr>
          <w:i/>
          <w:spacing w:val="-4"/>
          <w:sz w:val="24"/>
        </w:rPr>
        <w:t> </w:t>
      </w:r>
      <w:r>
        <w:rPr>
          <w:i/>
          <w:sz w:val="24"/>
        </w:rPr>
        <w:t>a</w:t>
      </w:r>
      <w:r>
        <w:rPr>
          <w:i/>
          <w:spacing w:val="-4"/>
          <w:sz w:val="24"/>
        </w:rPr>
        <w:t> </w:t>
      </w:r>
      <w:r>
        <w:rPr>
          <w:i/>
          <w:sz w:val="24"/>
        </w:rPr>
        <w:t>Public</w:t>
      </w:r>
      <w:r>
        <w:rPr>
          <w:i/>
          <w:spacing w:val="-5"/>
          <w:sz w:val="24"/>
        </w:rPr>
        <w:t> </w:t>
      </w:r>
      <w:r>
        <w:rPr>
          <w:i/>
          <w:sz w:val="24"/>
        </w:rPr>
        <w:t>Housing</w:t>
      </w:r>
      <w:r>
        <w:rPr>
          <w:i/>
          <w:spacing w:val="-5"/>
          <w:sz w:val="24"/>
        </w:rPr>
        <w:t> </w:t>
      </w:r>
      <w:r>
        <w:rPr>
          <w:i/>
          <w:spacing w:val="-4"/>
          <w:sz w:val="24"/>
        </w:rPr>
        <w:t>Unit</w:t>
      </w:r>
    </w:p>
    <w:p>
      <w:pPr>
        <w:pStyle w:val="BodyText"/>
        <w:spacing w:line="237" w:lineRule="auto" w:before="48"/>
        <w:ind w:left="120" w:right="1268"/>
      </w:pPr>
      <w:r>
        <w:rPr/>
        <w:t>If permitted by PHA policy to remain in a public housing unit, an OI family that agrees to pay the</w:t>
      </w:r>
      <w:r>
        <w:rPr>
          <w:spacing w:val="-1"/>
        </w:rPr>
        <w:t> </w:t>
      </w:r>
      <w:r>
        <w:rPr/>
        <w:t>alternative</w:t>
      </w:r>
      <w:r>
        <w:rPr>
          <w:spacing w:val="-1"/>
        </w:rPr>
        <w:t> </w:t>
      </w:r>
      <w:r>
        <w:rPr/>
        <w:t>rent will become</w:t>
      </w:r>
      <w:r>
        <w:rPr>
          <w:spacing w:val="-1"/>
        </w:rPr>
        <w:t> </w:t>
      </w:r>
      <w:r>
        <w:rPr/>
        <w:t>a</w:t>
      </w:r>
      <w:r>
        <w:rPr>
          <w:spacing w:val="-2"/>
        </w:rPr>
        <w:t> </w:t>
      </w:r>
      <w:r>
        <w:rPr/>
        <w:t>non-public</w:t>
      </w:r>
      <w:r>
        <w:rPr>
          <w:spacing w:val="-1"/>
        </w:rPr>
        <w:t> </w:t>
      </w:r>
      <w:r>
        <w:rPr/>
        <w:t>housing over-income (NPHOI)</w:t>
      </w:r>
      <w:r>
        <w:rPr>
          <w:spacing w:val="-2"/>
        </w:rPr>
        <w:t> </w:t>
      </w:r>
      <w:r>
        <w:rPr/>
        <w:t>family.</w:t>
      </w:r>
      <w:r>
        <w:rPr>
          <w:spacing w:val="-1"/>
        </w:rPr>
        <w:t> </w:t>
      </w:r>
      <w:r>
        <w:rPr/>
        <w:t>Once</w:t>
      </w:r>
      <w:r>
        <w:rPr>
          <w:spacing w:val="-2"/>
        </w:rPr>
        <w:t> </w:t>
      </w:r>
      <w:r>
        <w:rPr/>
        <w:t>given the</w:t>
      </w:r>
      <w:r>
        <w:rPr>
          <w:spacing w:val="-4"/>
        </w:rPr>
        <w:t> </w:t>
      </w:r>
      <w:r>
        <w:rPr/>
        <w:t>third</w:t>
      </w:r>
      <w:r>
        <w:rPr>
          <w:spacing w:val="-3"/>
        </w:rPr>
        <w:t> </w:t>
      </w:r>
      <w:r>
        <w:rPr/>
        <w:t>and</w:t>
      </w:r>
      <w:r>
        <w:rPr>
          <w:spacing w:val="-3"/>
        </w:rPr>
        <w:t> </w:t>
      </w:r>
      <w:r>
        <w:rPr/>
        <w:t>final</w:t>
      </w:r>
      <w:r>
        <w:rPr>
          <w:spacing w:val="-3"/>
        </w:rPr>
        <w:t> </w:t>
      </w:r>
      <w:r>
        <w:rPr/>
        <w:t>OI</w:t>
      </w:r>
      <w:r>
        <w:rPr>
          <w:spacing w:val="-7"/>
        </w:rPr>
        <w:t> </w:t>
      </w:r>
      <w:r>
        <w:rPr/>
        <w:t>notification</w:t>
      </w:r>
      <w:r>
        <w:rPr>
          <w:spacing w:val="-3"/>
        </w:rPr>
        <w:t> </w:t>
      </w:r>
      <w:r>
        <w:rPr/>
        <w:t>as</w:t>
      </w:r>
      <w:r>
        <w:rPr>
          <w:spacing w:val="-3"/>
        </w:rPr>
        <w:t> </w:t>
      </w:r>
      <w:r>
        <w:rPr/>
        <w:t>required</w:t>
      </w:r>
      <w:r>
        <w:rPr>
          <w:spacing w:val="-3"/>
        </w:rPr>
        <w:t> </w:t>
      </w:r>
      <w:r>
        <w:rPr/>
        <w:t>by</w:t>
      </w:r>
      <w:r>
        <w:rPr>
          <w:spacing w:val="-3"/>
        </w:rPr>
        <w:t> </w:t>
      </w:r>
      <w:r>
        <w:rPr/>
        <w:t>24</w:t>
      </w:r>
      <w:r>
        <w:rPr>
          <w:spacing w:val="-3"/>
        </w:rPr>
        <w:t> </w:t>
      </w:r>
      <w:r>
        <w:rPr/>
        <w:t>CFR</w:t>
      </w:r>
      <w:r>
        <w:rPr>
          <w:spacing w:val="-3"/>
        </w:rPr>
        <w:t> </w:t>
      </w:r>
      <w:r>
        <w:rPr/>
        <w:t>960.507(c)(2),</w:t>
      </w:r>
      <w:r>
        <w:rPr>
          <w:spacing w:val="-3"/>
        </w:rPr>
        <w:t> </w:t>
      </w:r>
      <w:r>
        <w:rPr/>
        <w:t>at</w:t>
      </w:r>
      <w:r>
        <w:rPr>
          <w:spacing w:val="-3"/>
        </w:rPr>
        <w:t> </w:t>
      </w:r>
      <w:r>
        <w:rPr/>
        <w:t>the</w:t>
      </w:r>
      <w:r>
        <w:rPr>
          <w:spacing w:val="-4"/>
        </w:rPr>
        <w:t> </w:t>
      </w:r>
      <w:r>
        <w:rPr/>
        <w:t>next</w:t>
      </w:r>
      <w:r>
        <w:rPr>
          <w:spacing w:val="-3"/>
        </w:rPr>
        <w:t> </w:t>
      </w:r>
      <w:r>
        <w:rPr/>
        <w:t>lease</w:t>
      </w:r>
      <w:r>
        <w:rPr>
          <w:spacing w:val="-1"/>
        </w:rPr>
        <w:t> </w:t>
      </w:r>
      <w:r>
        <w:rPr/>
        <w:t>renewal or</w:t>
      </w:r>
      <w:r>
        <w:rPr>
          <w:spacing w:val="-3"/>
        </w:rPr>
        <w:t> </w:t>
      </w:r>
      <w:r>
        <w:rPr/>
        <w:t>in</w:t>
      </w:r>
      <w:r>
        <w:rPr>
          <w:spacing w:val="-2"/>
        </w:rPr>
        <w:t> </w:t>
      </w:r>
      <w:r>
        <w:rPr/>
        <w:t>no</w:t>
      </w:r>
      <w:r>
        <w:rPr>
          <w:spacing w:val="-2"/>
        </w:rPr>
        <w:t> </w:t>
      </w:r>
      <w:r>
        <w:rPr/>
        <w:t>more</w:t>
      </w:r>
      <w:r>
        <w:rPr>
          <w:spacing w:val="-3"/>
        </w:rPr>
        <w:t> </w:t>
      </w:r>
      <w:r>
        <w:rPr/>
        <w:t>than</w:t>
      </w:r>
      <w:r>
        <w:rPr>
          <w:spacing w:val="-2"/>
        </w:rPr>
        <w:t> </w:t>
      </w:r>
      <w:r>
        <w:rPr/>
        <w:t>60</w:t>
      </w:r>
      <w:r>
        <w:rPr>
          <w:spacing w:val="-2"/>
        </w:rPr>
        <w:t> </w:t>
      </w:r>
      <w:r>
        <w:rPr/>
        <w:t>days</w:t>
      </w:r>
      <w:r>
        <w:rPr>
          <w:spacing w:val="-2"/>
        </w:rPr>
        <w:t> </w:t>
      </w:r>
      <w:r>
        <w:rPr/>
        <w:t>after</w:t>
      </w:r>
      <w:r>
        <w:rPr>
          <w:spacing w:val="-3"/>
        </w:rPr>
        <w:t> </w:t>
      </w:r>
      <w:r>
        <w:rPr/>
        <w:t>the</w:t>
      </w:r>
      <w:r>
        <w:rPr>
          <w:spacing w:val="-3"/>
        </w:rPr>
        <w:t> </w:t>
      </w:r>
      <w:r>
        <w:rPr/>
        <w:t>date</w:t>
      </w:r>
      <w:r>
        <w:rPr>
          <w:spacing w:val="-3"/>
        </w:rPr>
        <w:t> </w:t>
      </w:r>
      <w:r>
        <w:rPr/>
        <w:t>the</w:t>
      </w:r>
      <w:r>
        <w:rPr>
          <w:spacing w:val="-3"/>
        </w:rPr>
        <w:t> </w:t>
      </w:r>
      <w:r>
        <w:rPr/>
        <w:t>final</w:t>
      </w:r>
      <w:r>
        <w:rPr>
          <w:spacing w:val="-2"/>
        </w:rPr>
        <w:t> </w:t>
      </w:r>
      <w:r>
        <w:rPr/>
        <w:t>notice</w:t>
      </w:r>
      <w:r>
        <w:rPr>
          <w:spacing w:val="-3"/>
        </w:rPr>
        <w:t> </w:t>
      </w:r>
      <w:r>
        <w:rPr/>
        <w:t>per</w:t>
      </w:r>
      <w:r>
        <w:rPr>
          <w:spacing w:val="-3"/>
        </w:rPr>
        <w:t> </w:t>
      </w:r>
      <w:r>
        <w:rPr/>
        <w:t>24</w:t>
      </w:r>
      <w:r>
        <w:rPr>
          <w:spacing w:val="-2"/>
        </w:rPr>
        <w:t> </w:t>
      </w:r>
      <w:r>
        <w:rPr/>
        <w:t>CFR</w:t>
      </w:r>
      <w:r>
        <w:rPr>
          <w:spacing w:val="-2"/>
        </w:rPr>
        <w:t> </w:t>
      </w:r>
      <w:r>
        <w:rPr/>
        <w:t>960.507(c)(3),</w:t>
      </w:r>
      <w:r>
        <w:rPr>
          <w:spacing w:val="-2"/>
        </w:rPr>
        <w:t> </w:t>
      </w:r>
      <w:r>
        <w:rPr/>
        <w:t>whichever</w:t>
      </w:r>
      <w:r>
        <w:rPr>
          <w:spacing w:val="-3"/>
        </w:rPr>
        <w:t> </w:t>
      </w:r>
      <w:r>
        <w:rPr/>
        <w:t>is sooner, the family must execute a new lease created for NPHOI families and begin to pay the alternative rent. The family will no longer be public housing program participants and will become unassisted tenants once the new lease is signed.</w:t>
      </w:r>
    </w:p>
    <w:p>
      <w:pPr>
        <w:pStyle w:val="BodyText"/>
        <w:spacing w:before="8"/>
        <w:rPr>
          <w:sz w:val="31"/>
        </w:rPr>
      </w:pPr>
    </w:p>
    <w:p>
      <w:pPr>
        <w:pStyle w:val="BodyText"/>
        <w:spacing w:line="237" w:lineRule="auto"/>
        <w:ind w:left="120" w:right="1204"/>
      </w:pPr>
      <w:r>
        <w:rPr/>
        <w:t>If the PHA gives a family the option to pay the alternative rent and they decline, the PHA must terminate the tenancy of the family no more than 6 months after the end of the 24 consecutive month grace period. An OI family that declines to pay the alternative rent will continue to be a public housing program participant in the period before termination. As a result, PHAs that choose</w:t>
      </w:r>
      <w:r>
        <w:rPr>
          <w:spacing w:val="-3"/>
        </w:rPr>
        <w:t> </w:t>
      </w:r>
      <w:r>
        <w:rPr/>
        <w:t>to</w:t>
      </w:r>
      <w:r>
        <w:rPr>
          <w:spacing w:val="-2"/>
        </w:rPr>
        <w:t> </w:t>
      </w:r>
      <w:r>
        <w:rPr/>
        <w:t>permit</w:t>
      </w:r>
      <w:r>
        <w:rPr>
          <w:spacing w:val="-2"/>
        </w:rPr>
        <w:t> </w:t>
      </w:r>
      <w:r>
        <w:rPr/>
        <w:t>OI</w:t>
      </w:r>
      <w:r>
        <w:rPr>
          <w:spacing w:val="-7"/>
        </w:rPr>
        <w:t> </w:t>
      </w:r>
      <w:r>
        <w:rPr/>
        <w:t>families</w:t>
      </w:r>
      <w:r>
        <w:rPr>
          <w:spacing w:val="-2"/>
        </w:rPr>
        <w:t> </w:t>
      </w:r>
      <w:r>
        <w:rPr/>
        <w:t>to</w:t>
      </w:r>
      <w:r>
        <w:rPr>
          <w:spacing w:val="-2"/>
        </w:rPr>
        <w:t> </w:t>
      </w:r>
      <w:r>
        <w:rPr/>
        <w:t>remain</w:t>
      </w:r>
      <w:r>
        <w:rPr>
          <w:spacing w:val="-2"/>
        </w:rPr>
        <w:t> </w:t>
      </w:r>
      <w:r>
        <w:rPr/>
        <w:t>in</w:t>
      </w:r>
      <w:r>
        <w:rPr>
          <w:spacing w:val="-2"/>
        </w:rPr>
        <w:t> </w:t>
      </w:r>
      <w:r>
        <w:rPr/>
        <w:t>public</w:t>
      </w:r>
      <w:r>
        <w:rPr>
          <w:spacing w:val="-4"/>
        </w:rPr>
        <w:t> </w:t>
      </w:r>
      <w:r>
        <w:rPr/>
        <w:t>housing</w:t>
      </w:r>
      <w:r>
        <w:rPr>
          <w:spacing w:val="-2"/>
        </w:rPr>
        <w:t> </w:t>
      </w:r>
      <w:r>
        <w:rPr/>
        <w:t>units</w:t>
      </w:r>
      <w:r>
        <w:rPr>
          <w:spacing w:val="-2"/>
        </w:rPr>
        <w:t> </w:t>
      </w:r>
      <w:r>
        <w:rPr/>
        <w:t>as</w:t>
      </w:r>
      <w:r>
        <w:rPr>
          <w:spacing w:val="-2"/>
        </w:rPr>
        <w:t> </w:t>
      </w:r>
      <w:r>
        <w:rPr/>
        <w:t>NPHOI</w:t>
      </w:r>
      <w:r>
        <w:rPr>
          <w:spacing w:val="-7"/>
        </w:rPr>
        <w:t> </w:t>
      </w:r>
      <w:r>
        <w:rPr/>
        <w:t>families</w:t>
      </w:r>
      <w:r>
        <w:rPr>
          <w:spacing w:val="-2"/>
        </w:rPr>
        <w:t> </w:t>
      </w:r>
      <w:r>
        <w:rPr/>
        <w:t>must</w:t>
      </w:r>
      <w:r>
        <w:rPr>
          <w:spacing w:val="-2"/>
        </w:rPr>
        <w:t> </w:t>
      </w:r>
      <w:r>
        <w:rPr/>
        <w:t>also</w:t>
      </w:r>
      <w:r>
        <w:rPr>
          <w:spacing w:val="-2"/>
        </w:rPr>
        <w:t> </w:t>
      </w:r>
      <w:r>
        <w:rPr/>
        <w:t>have a termination policy in the event the family declines to execute a new lease under 24 CFR </w:t>
      </w:r>
      <w:r>
        <w:rPr>
          <w:spacing w:val="-2"/>
        </w:rPr>
        <w:t>960.509.</w:t>
      </w:r>
    </w:p>
    <w:p>
      <w:pPr>
        <w:pStyle w:val="BodyText"/>
        <w:spacing w:before="9"/>
        <w:rPr>
          <w:sz w:val="31"/>
        </w:rPr>
      </w:pPr>
    </w:p>
    <w:p>
      <w:pPr>
        <w:pStyle w:val="BodyText"/>
        <w:spacing w:line="237" w:lineRule="auto"/>
        <w:ind w:left="120" w:right="1255"/>
      </w:pPr>
      <w:r>
        <w:rPr/>
        <w:t>However, the PHA may permit, in accordance with its OI policies, an OI family to execute the new lease after the deadline, but before termination of the tenancy, if the OI family pays the PHA</w:t>
      </w:r>
      <w:r>
        <w:rPr>
          <w:spacing w:val="-4"/>
        </w:rPr>
        <w:t> </w:t>
      </w:r>
      <w:r>
        <w:rPr/>
        <w:t>the</w:t>
      </w:r>
      <w:r>
        <w:rPr>
          <w:spacing w:val="-4"/>
        </w:rPr>
        <w:t> </w:t>
      </w:r>
      <w:r>
        <w:rPr/>
        <w:t>total</w:t>
      </w:r>
      <w:r>
        <w:rPr>
          <w:spacing w:val="-3"/>
        </w:rPr>
        <w:t> </w:t>
      </w:r>
      <w:r>
        <w:rPr/>
        <w:t>difference</w:t>
      </w:r>
      <w:r>
        <w:rPr>
          <w:spacing w:val="-2"/>
        </w:rPr>
        <w:t> </w:t>
      </w:r>
      <w:r>
        <w:rPr/>
        <w:t>between</w:t>
      </w:r>
      <w:r>
        <w:rPr>
          <w:spacing w:val="-3"/>
        </w:rPr>
        <w:t> </w:t>
      </w:r>
      <w:r>
        <w:rPr/>
        <w:t>the</w:t>
      </w:r>
      <w:r>
        <w:rPr>
          <w:spacing w:val="-2"/>
        </w:rPr>
        <w:t> </w:t>
      </w:r>
      <w:r>
        <w:rPr/>
        <w:t>alternative</w:t>
      </w:r>
      <w:r>
        <w:rPr>
          <w:spacing w:val="-2"/>
        </w:rPr>
        <w:t> </w:t>
      </w:r>
      <w:r>
        <w:rPr/>
        <w:t>rent</w:t>
      </w:r>
      <w:r>
        <w:rPr>
          <w:spacing w:val="-3"/>
        </w:rPr>
        <w:t> </w:t>
      </w:r>
      <w:r>
        <w:rPr/>
        <w:t>and</w:t>
      </w:r>
      <w:r>
        <w:rPr>
          <w:spacing w:val="-3"/>
        </w:rPr>
        <w:t> </w:t>
      </w:r>
      <w:r>
        <w:rPr/>
        <w:t>their</w:t>
      </w:r>
      <w:r>
        <w:rPr>
          <w:spacing w:val="-4"/>
        </w:rPr>
        <w:t> </w:t>
      </w:r>
      <w:r>
        <w:rPr/>
        <w:t>public</w:t>
      </w:r>
      <w:r>
        <w:rPr>
          <w:spacing w:val="-4"/>
        </w:rPr>
        <w:t> </w:t>
      </w:r>
      <w:r>
        <w:rPr/>
        <w:t>housing</w:t>
      </w:r>
      <w:r>
        <w:rPr>
          <w:spacing w:val="-3"/>
        </w:rPr>
        <w:t> </w:t>
      </w:r>
      <w:r>
        <w:rPr/>
        <w:t>rent</w:t>
      </w:r>
      <w:r>
        <w:rPr>
          <w:spacing w:val="-3"/>
        </w:rPr>
        <w:t> </w:t>
      </w:r>
      <w:r>
        <w:rPr/>
        <w:t>dating</w:t>
      </w:r>
      <w:r>
        <w:rPr>
          <w:spacing w:val="-3"/>
        </w:rPr>
        <w:t> </w:t>
      </w:r>
      <w:r>
        <w:rPr/>
        <w:t>back</w:t>
      </w:r>
      <w:r>
        <w:rPr>
          <w:spacing w:val="-3"/>
        </w:rPr>
        <w:t> </w:t>
      </w:r>
      <w:r>
        <w:rPr/>
        <w:t>to the date that is the earlier of 60 days after the date the final notice pe</w:t>
      </w:r>
      <w:bookmarkStart w:name="_bookmark29" w:id="41"/>
      <w:bookmarkEnd w:id="41"/>
      <w:r>
        <w:rPr/>
        <w:t>r</w:t>
      </w:r>
      <w:r>
        <w:rPr/>
        <w:t> 24 CFR 960.507(c)(3) or the date that would have been the next public housing lease renewal.</w:t>
      </w:r>
      <w:hyperlink w:history="true" w:anchor="_bookmark32">
        <w:r>
          <w:rPr>
            <w:vertAlign w:val="superscript"/>
          </w:rPr>
          <w:t>10</w:t>
        </w:r>
      </w:hyperlink>
    </w:p>
    <w:p>
      <w:pPr>
        <w:pStyle w:val="BodyText"/>
        <w:spacing w:before="10"/>
        <w:rPr>
          <w:sz w:val="31"/>
        </w:rPr>
      </w:pPr>
    </w:p>
    <w:p>
      <w:pPr>
        <w:pStyle w:val="BodyText"/>
        <w:spacing w:line="237" w:lineRule="auto"/>
        <w:ind w:left="120" w:right="1268"/>
      </w:pPr>
      <w:r>
        <w:rPr/>
        <w:t>If the PHA gives a family the option to pay the alternative rent and they accept, going forward the PHA may not conduct an annual reexamination of family income for an NPHOI</w:t>
      </w:r>
      <w:r>
        <w:rPr>
          <w:spacing w:val="-2"/>
        </w:rPr>
        <w:t> </w:t>
      </w:r>
      <w:r>
        <w:rPr/>
        <w:t>family, but may</w:t>
      </w:r>
      <w:r>
        <w:rPr>
          <w:spacing w:val="-1"/>
        </w:rPr>
        <w:t> </w:t>
      </w:r>
      <w:r>
        <w:rPr/>
        <w:t>offer</w:t>
      </w:r>
      <w:r>
        <w:rPr>
          <w:spacing w:val="-2"/>
        </w:rPr>
        <w:t> </w:t>
      </w:r>
      <w:r>
        <w:rPr/>
        <w:t>hearing</w:t>
      </w:r>
      <w:r>
        <w:rPr>
          <w:spacing w:val="-1"/>
        </w:rPr>
        <w:t> </w:t>
      </w:r>
      <w:r>
        <w:rPr/>
        <w:t>or</w:t>
      </w:r>
      <w:r>
        <w:rPr>
          <w:spacing w:val="-2"/>
        </w:rPr>
        <w:t> </w:t>
      </w:r>
      <w:r>
        <w:rPr/>
        <w:t>grievance</w:t>
      </w:r>
      <w:r>
        <w:rPr>
          <w:spacing w:val="-2"/>
        </w:rPr>
        <w:t> </w:t>
      </w:r>
      <w:r>
        <w:rPr/>
        <w:t>procedures</w:t>
      </w:r>
      <w:r>
        <w:rPr>
          <w:spacing w:val="-1"/>
        </w:rPr>
        <w:t> </w:t>
      </w:r>
      <w:r>
        <w:rPr/>
        <w:t>at</w:t>
      </w:r>
      <w:r>
        <w:rPr>
          <w:spacing w:val="-1"/>
        </w:rPr>
        <w:t> </w:t>
      </w:r>
      <w:r>
        <w:rPr/>
        <w:t>the</w:t>
      </w:r>
      <w:r>
        <w:rPr>
          <w:spacing w:val="-3"/>
        </w:rPr>
        <w:t> </w:t>
      </w:r>
      <w:r>
        <w:rPr/>
        <w:t>discretion</w:t>
      </w:r>
      <w:r>
        <w:rPr>
          <w:spacing w:val="-1"/>
        </w:rPr>
        <w:t> </w:t>
      </w:r>
      <w:r>
        <w:rPr/>
        <w:t>of</w:t>
      </w:r>
      <w:r>
        <w:rPr>
          <w:spacing w:val="-2"/>
        </w:rPr>
        <w:t> </w:t>
      </w:r>
      <w:r>
        <w:rPr/>
        <w:t>the</w:t>
      </w:r>
      <w:r>
        <w:rPr>
          <w:spacing w:val="-3"/>
        </w:rPr>
        <w:t> </w:t>
      </w:r>
      <w:r>
        <w:rPr/>
        <w:t>PHA.</w:t>
      </w:r>
      <w:r>
        <w:rPr>
          <w:spacing w:val="-1"/>
        </w:rPr>
        <w:t> </w:t>
      </w:r>
      <w:r>
        <w:rPr/>
        <w:t>NPHOI</w:t>
      </w:r>
      <w:r>
        <w:rPr>
          <w:spacing w:val="-5"/>
        </w:rPr>
        <w:t> </w:t>
      </w:r>
      <w:r>
        <w:rPr/>
        <w:t>families</w:t>
      </w:r>
      <w:r>
        <w:rPr>
          <w:spacing w:val="-1"/>
        </w:rPr>
        <w:t> </w:t>
      </w:r>
      <w:r>
        <w:rPr/>
        <w:t>cannot participate in programs that are </w:t>
      </w:r>
      <w:bookmarkStart w:name="_bookmark30" w:id="42"/>
      <w:bookmarkEnd w:id="42"/>
      <w:r>
        <w:rPr/>
        <w:t>only</w:t>
      </w:r>
      <w:r>
        <w:rPr/>
        <w:t> for public housing or low-income f</w:t>
      </w:r>
      <w:bookmarkStart w:name="_bookmark31" w:id="43"/>
      <w:bookmarkEnd w:id="43"/>
      <w:r>
        <w:rPr/>
        <w:t>a</w:t>
      </w:r>
      <w:r>
        <w:rPr/>
        <w:t>milies such as participation</w:t>
      </w:r>
      <w:r>
        <w:rPr>
          <w:spacing w:val="-3"/>
        </w:rPr>
        <w:t> </w:t>
      </w:r>
      <w:r>
        <w:rPr/>
        <w:t>in</w:t>
      </w:r>
      <w:r>
        <w:rPr>
          <w:spacing w:val="-3"/>
        </w:rPr>
        <w:t> </w:t>
      </w:r>
      <w:r>
        <w:rPr/>
        <w:t>a</w:t>
      </w:r>
      <w:r>
        <w:rPr>
          <w:spacing w:val="-5"/>
        </w:rPr>
        <w:t> </w:t>
      </w:r>
      <w:r>
        <w:rPr/>
        <w:t>resident</w:t>
      </w:r>
      <w:r>
        <w:rPr>
          <w:spacing w:val="-1"/>
        </w:rPr>
        <w:t> </w:t>
      </w:r>
      <w:r>
        <w:rPr/>
        <w:t>council,</w:t>
      </w:r>
      <w:hyperlink w:history="true" w:anchor="_bookmark33">
        <w:r>
          <w:rPr>
            <w:vertAlign w:val="superscript"/>
          </w:rPr>
          <w:t>11</w:t>
        </w:r>
      </w:hyperlink>
      <w:r>
        <w:rPr>
          <w:spacing w:val="-2"/>
          <w:vertAlign w:val="baseline"/>
        </w:rPr>
        <w:t> </w:t>
      </w:r>
      <w:r>
        <w:rPr>
          <w:vertAlign w:val="baseline"/>
        </w:rPr>
        <w:t>or</w:t>
      </w:r>
      <w:r>
        <w:rPr>
          <w:spacing w:val="-4"/>
          <w:vertAlign w:val="baseline"/>
        </w:rPr>
        <w:t> </w:t>
      </w:r>
      <w:r>
        <w:rPr>
          <w:vertAlign w:val="baseline"/>
        </w:rPr>
        <w:t>receive</w:t>
      </w:r>
      <w:r>
        <w:rPr>
          <w:spacing w:val="-2"/>
          <w:vertAlign w:val="baseline"/>
        </w:rPr>
        <w:t> </w:t>
      </w:r>
      <w:r>
        <w:rPr>
          <w:vertAlign w:val="baseline"/>
        </w:rPr>
        <w:t>a</w:t>
      </w:r>
      <w:r>
        <w:rPr>
          <w:spacing w:val="-4"/>
          <w:vertAlign w:val="baseline"/>
        </w:rPr>
        <w:t> </w:t>
      </w:r>
      <w:r>
        <w:rPr>
          <w:vertAlign w:val="baseline"/>
        </w:rPr>
        <w:t>HUD</w:t>
      </w:r>
      <w:r>
        <w:rPr>
          <w:spacing w:val="-4"/>
          <w:vertAlign w:val="baseline"/>
        </w:rPr>
        <w:t> </w:t>
      </w:r>
      <w:r>
        <w:rPr>
          <w:vertAlign w:val="baseline"/>
        </w:rPr>
        <w:t>utility</w:t>
      </w:r>
      <w:r>
        <w:rPr>
          <w:spacing w:val="-3"/>
          <w:vertAlign w:val="baseline"/>
        </w:rPr>
        <w:t> </w:t>
      </w:r>
      <w:r>
        <w:rPr>
          <w:vertAlign w:val="baseline"/>
        </w:rPr>
        <w:t>allowance</w:t>
      </w:r>
      <w:hyperlink w:history="true" w:anchor="_bookmark34">
        <w:r>
          <w:rPr>
            <w:vertAlign w:val="baseline"/>
          </w:rPr>
          <w:t>.</w:t>
        </w:r>
        <w:r>
          <w:rPr>
            <w:vertAlign w:val="superscript"/>
          </w:rPr>
          <w:t>12</w:t>
        </w:r>
      </w:hyperlink>
      <w:r>
        <w:rPr>
          <w:spacing w:val="-2"/>
          <w:vertAlign w:val="baseline"/>
        </w:rPr>
        <w:t> </w:t>
      </w:r>
      <w:r>
        <w:rPr>
          <w:vertAlign w:val="baseline"/>
        </w:rPr>
        <w:t>Lastly,</w:t>
      </w:r>
      <w:r>
        <w:rPr>
          <w:spacing w:val="-3"/>
          <w:vertAlign w:val="baseline"/>
        </w:rPr>
        <w:t> </w:t>
      </w:r>
      <w:r>
        <w:rPr>
          <w:vertAlign w:val="baseline"/>
        </w:rPr>
        <w:t>PHAs</w:t>
      </w:r>
      <w:r>
        <w:rPr>
          <w:spacing w:val="-3"/>
          <w:vertAlign w:val="baseline"/>
        </w:rPr>
        <w:t> </w:t>
      </w:r>
      <w:r>
        <w:rPr>
          <w:vertAlign w:val="baseline"/>
        </w:rPr>
        <w:t>are</w:t>
      </w:r>
      <w:r>
        <w:rPr>
          <w:spacing w:val="-4"/>
          <w:vertAlign w:val="baseline"/>
        </w:rPr>
        <w:t> </w:t>
      </w:r>
      <w:r>
        <w:rPr>
          <w:vertAlign w:val="baseline"/>
        </w:rPr>
        <w:t>also reminded that NPHOI families are no longer subject to CSSR. See section 8 of this notice for additional lease requirements.</w:t>
      </w:r>
    </w:p>
    <w:p>
      <w:pPr>
        <w:pStyle w:val="BodyText"/>
        <w:spacing w:before="9"/>
        <w:rPr>
          <w:sz w:val="31"/>
        </w:rPr>
      </w:pPr>
    </w:p>
    <w:p>
      <w:pPr>
        <w:pStyle w:val="BodyText"/>
        <w:spacing w:line="237" w:lineRule="auto"/>
        <w:ind w:left="120" w:right="1268"/>
      </w:pPr>
      <w:r>
        <w:rPr/>
        <w:t>Once the new lease is executed, an NPHOI family may only be readmitted into the public housing</w:t>
      </w:r>
      <w:r>
        <w:rPr>
          <w:spacing w:val="-3"/>
        </w:rPr>
        <w:t> </w:t>
      </w:r>
      <w:r>
        <w:rPr/>
        <w:t>program</w:t>
      </w:r>
      <w:r>
        <w:rPr>
          <w:spacing w:val="-3"/>
        </w:rPr>
        <w:t> </w:t>
      </w:r>
      <w:r>
        <w:rPr/>
        <w:t>if</w:t>
      </w:r>
      <w:r>
        <w:rPr>
          <w:spacing w:val="-4"/>
        </w:rPr>
        <w:t> </w:t>
      </w:r>
      <w:r>
        <w:rPr/>
        <w:t>they</w:t>
      </w:r>
      <w:r>
        <w:rPr>
          <w:spacing w:val="-1"/>
        </w:rPr>
        <w:t> </w:t>
      </w:r>
      <w:r>
        <w:rPr/>
        <w:t>once</w:t>
      </w:r>
      <w:r>
        <w:rPr>
          <w:spacing w:val="-5"/>
        </w:rPr>
        <w:t> </w:t>
      </w:r>
      <w:r>
        <w:rPr/>
        <w:t>again</w:t>
      </w:r>
      <w:r>
        <w:rPr>
          <w:spacing w:val="-3"/>
        </w:rPr>
        <w:t> </w:t>
      </w:r>
      <w:r>
        <w:rPr/>
        <w:t>become</w:t>
      </w:r>
      <w:r>
        <w:rPr>
          <w:spacing w:val="-2"/>
        </w:rPr>
        <w:t> </w:t>
      </w:r>
      <w:r>
        <w:rPr/>
        <w:t>an</w:t>
      </w:r>
      <w:r>
        <w:rPr>
          <w:spacing w:val="-3"/>
        </w:rPr>
        <w:t> </w:t>
      </w:r>
      <w:r>
        <w:rPr/>
        <w:t>eligible</w:t>
      </w:r>
      <w:r>
        <w:rPr>
          <w:spacing w:val="-4"/>
        </w:rPr>
        <w:t> </w:t>
      </w:r>
      <w:r>
        <w:rPr/>
        <w:t>low-income</w:t>
      </w:r>
      <w:r>
        <w:rPr>
          <w:spacing w:val="-5"/>
        </w:rPr>
        <w:t> </w:t>
      </w:r>
      <w:r>
        <w:rPr/>
        <w:t>family</w:t>
      </w:r>
      <w:r>
        <w:rPr>
          <w:spacing w:val="-1"/>
        </w:rPr>
        <w:t> </w:t>
      </w:r>
      <w:r>
        <w:rPr/>
        <w:t>as</w:t>
      </w:r>
      <w:r>
        <w:rPr>
          <w:spacing w:val="-3"/>
        </w:rPr>
        <w:t> </w:t>
      </w:r>
      <w:r>
        <w:rPr/>
        <w:t>defined</w:t>
      </w:r>
      <w:r>
        <w:rPr>
          <w:spacing w:val="-3"/>
        </w:rPr>
        <w:t> </w:t>
      </w:r>
      <w:r>
        <w:rPr/>
        <w:t>in</w:t>
      </w:r>
      <w:r>
        <w:rPr>
          <w:spacing w:val="-3"/>
        </w:rPr>
        <w:t> </w:t>
      </w:r>
      <w:r>
        <w:rPr/>
        <w:t>24</w:t>
      </w:r>
      <w:r>
        <w:rPr>
          <w:spacing w:val="-3"/>
        </w:rPr>
        <w:t> </w:t>
      </w:r>
      <w:r>
        <w:rPr/>
        <w:t>CFR 5.603(b) and reapply to the public housing program. The PHA may choose to adopt the new local</w:t>
      </w:r>
      <w:r>
        <w:rPr>
          <w:spacing w:val="-1"/>
        </w:rPr>
        <w:t> </w:t>
      </w:r>
      <w:r>
        <w:rPr/>
        <w:t>preference</w:t>
      </w:r>
      <w:r>
        <w:rPr>
          <w:spacing w:val="-2"/>
        </w:rPr>
        <w:t> </w:t>
      </w:r>
      <w:r>
        <w:rPr/>
        <w:t>proved</w:t>
      </w:r>
      <w:r>
        <w:rPr>
          <w:spacing w:val="-1"/>
        </w:rPr>
        <w:t> </w:t>
      </w:r>
      <w:r>
        <w:rPr/>
        <w:t>at</w:t>
      </w:r>
      <w:r>
        <w:rPr>
          <w:spacing w:val="-1"/>
        </w:rPr>
        <w:t> </w:t>
      </w:r>
      <w:r>
        <w:rPr/>
        <w:t>24</w:t>
      </w:r>
      <w:r>
        <w:rPr>
          <w:spacing w:val="-1"/>
        </w:rPr>
        <w:t> </w:t>
      </w:r>
      <w:r>
        <w:rPr/>
        <w:t>CFR</w:t>
      </w:r>
      <w:r>
        <w:rPr>
          <w:spacing w:val="-1"/>
        </w:rPr>
        <w:t> </w:t>
      </w:r>
      <w:r>
        <w:rPr/>
        <w:t>960.206(b)(6)</w:t>
      </w:r>
      <w:r>
        <w:rPr>
          <w:spacing w:val="-2"/>
        </w:rPr>
        <w:t> </w:t>
      </w:r>
      <w:r>
        <w:rPr/>
        <w:t>for</w:t>
      </w:r>
      <w:r>
        <w:rPr>
          <w:spacing w:val="-2"/>
        </w:rPr>
        <w:t> </w:t>
      </w:r>
      <w:r>
        <w:rPr/>
        <w:t>NPHOI</w:t>
      </w:r>
      <w:r>
        <w:rPr>
          <w:spacing w:val="-6"/>
        </w:rPr>
        <w:t> </w:t>
      </w:r>
      <w:r>
        <w:rPr/>
        <w:t>families.</w:t>
      </w:r>
      <w:r>
        <w:rPr>
          <w:spacing w:val="-1"/>
        </w:rPr>
        <w:t> </w:t>
      </w:r>
      <w:r>
        <w:rPr/>
        <w:t>However,</w:t>
      </w:r>
      <w:r>
        <w:rPr>
          <w:spacing w:val="-1"/>
        </w:rPr>
        <w:t> </w:t>
      </w:r>
      <w:r>
        <w:rPr/>
        <w:t>the adoption</w:t>
      </w:r>
      <w:r>
        <w:rPr>
          <w:spacing w:val="-1"/>
        </w:rPr>
        <w:t> </w:t>
      </w:r>
      <w:r>
        <w:rPr/>
        <w:t>of this preference is at the discretion of the PHA.</w:t>
      </w:r>
    </w:p>
    <w:p>
      <w:pPr>
        <w:pStyle w:val="BodyText"/>
        <w:spacing w:before="2"/>
      </w:pPr>
    </w:p>
    <w:p>
      <w:pPr>
        <w:pStyle w:val="BodyText"/>
        <w:ind w:left="120" w:right="1204"/>
      </w:pPr>
      <w:r>
        <w:rPr/>
        <w:t>For PHAs that adopted the CARES Act provisions to charge OI families the FMR as the alternative</w:t>
      </w:r>
      <w:r>
        <w:rPr>
          <w:spacing w:val="-4"/>
        </w:rPr>
        <w:t> </w:t>
      </w:r>
      <w:r>
        <w:rPr/>
        <w:t>rent</w:t>
      </w:r>
      <w:r>
        <w:rPr>
          <w:spacing w:val="-3"/>
        </w:rPr>
        <w:t> </w:t>
      </w:r>
      <w:r>
        <w:rPr/>
        <w:t>and</w:t>
      </w:r>
      <w:r>
        <w:rPr>
          <w:spacing w:val="-3"/>
        </w:rPr>
        <w:t> </w:t>
      </w:r>
      <w:r>
        <w:rPr/>
        <w:t>elected</w:t>
      </w:r>
      <w:r>
        <w:rPr>
          <w:spacing w:val="-3"/>
        </w:rPr>
        <w:t> </w:t>
      </w:r>
      <w:r>
        <w:rPr/>
        <w:t>not</w:t>
      </w:r>
      <w:r>
        <w:rPr>
          <w:spacing w:val="-3"/>
        </w:rPr>
        <w:t> </w:t>
      </w:r>
      <w:r>
        <w:rPr/>
        <w:t>to</w:t>
      </w:r>
      <w:r>
        <w:rPr>
          <w:spacing w:val="-3"/>
        </w:rPr>
        <w:t> </w:t>
      </w:r>
      <w:r>
        <w:rPr/>
        <w:t>terminate</w:t>
      </w:r>
      <w:r>
        <w:rPr>
          <w:spacing w:val="-5"/>
        </w:rPr>
        <w:t> </w:t>
      </w:r>
      <w:r>
        <w:rPr/>
        <w:t>over-income</w:t>
      </w:r>
      <w:r>
        <w:rPr>
          <w:spacing w:val="-4"/>
        </w:rPr>
        <w:t> </w:t>
      </w:r>
      <w:r>
        <w:rPr/>
        <w:t>families</w:t>
      </w:r>
      <w:r>
        <w:rPr>
          <w:spacing w:val="-3"/>
        </w:rPr>
        <w:t> </w:t>
      </w:r>
      <w:r>
        <w:rPr/>
        <w:t>who</w:t>
      </w:r>
      <w:r>
        <w:rPr>
          <w:spacing w:val="-4"/>
        </w:rPr>
        <w:t> </w:t>
      </w:r>
      <w:r>
        <w:rPr/>
        <w:t>exceed</w:t>
      </w:r>
      <w:r>
        <w:rPr>
          <w:spacing w:val="-3"/>
        </w:rPr>
        <w:t> </w:t>
      </w:r>
      <w:r>
        <w:rPr/>
        <w:t>the</w:t>
      </w:r>
      <w:r>
        <w:rPr>
          <w:spacing w:val="-4"/>
        </w:rPr>
        <w:t> </w:t>
      </w:r>
      <w:r>
        <w:rPr/>
        <w:t>grace</w:t>
      </w:r>
      <w:r>
        <w:rPr>
          <w:spacing w:val="-4"/>
        </w:rPr>
        <w:t> </w:t>
      </w:r>
      <w:r>
        <w:rPr/>
        <w:t>period, those PHAs were required to have</w:t>
      </w:r>
      <w:r>
        <w:rPr>
          <w:spacing w:val="-1"/>
        </w:rPr>
        <w:t> </w:t>
      </w:r>
      <w:r>
        <w:rPr/>
        <w:t>these families once</w:t>
      </w:r>
      <w:r>
        <w:rPr>
          <w:spacing w:val="-1"/>
        </w:rPr>
        <w:t> </w:t>
      </w:r>
      <w:r>
        <w:rPr/>
        <w:t>again pay an income-based rent or a flat rent at their next annual reexamination until HUD published the final rule. With the implementation of the HOTMA final rule, these PHAs must now have the family sign a new</w:t>
      </w:r>
    </w:p>
    <w:p>
      <w:pPr>
        <w:pStyle w:val="BodyText"/>
        <w:rPr>
          <w:sz w:val="20"/>
        </w:rPr>
      </w:pPr>
    </w:p>
    <w:p>
      <w:pPr>
        <w:pStyle w:val="BodyText"/>
        <w:spacing w:before="7"/>
        <w:rPr>
          <w:sz w:val="11"/>
        </w:rPr>
      </w:pPr>
      <w:r>
        <w:rPr/>
        <w:pict>
          <v:rect style="position:absolute;margin-left:72pt;margin-top:7.879199pt;width:144pt;height:.71pt;mso-position-horizontal-relative:page;mso-position-vertical-relative:paragraph;z-index:-15724544;mso-wrap-distance-left:0;mso-wrap-distance-right:0" id="docshape11" filled="true" fillcolor="#000000" stroked="false">
            <v:fill type="solid"/>
            <w10:wrap type="topAndBottom"/>
          </v:rect>
        </w:pict>
      </w:r>
    </w:p>
    <w:p>
      <w:pPr>
        <w:spacing w:line="183" w:lineRule="exact" w:before="103"/>
        <w:ind w:left="120" w:right="0" w:firstLine="0"/>
        <w:jc w:val="left"/>
        <w:rPr>
          <w:sz w:val="16"/>
        </w:rPr>
      </w:pPr>
      <w:hyperlink w:history="true" w:anchor="_bookmark29">
        <w:r>
          <w:rPr>
            <w:sz w:val="16"/>
            <w:vertAlign w:val="superscript"/>
          </w:rPr>
          <w:t>10</w:t>
        </w:r>
      </w:hyperlink>
      <w:r>
        <w:rPr>
          <w:spacing w:val="-1"/>
          <w:sz w:val="16"/>
          <w:vertAlign w:val="baseline"/>
        </w:rPr>
        <w:t> </w:t>
      </w:r>
      <w:bookmarkStart w:name="_bookmark32" w:id="44"/>
      <w:bookmarkEnd w:id="44"/>
      <w:r>
        <w:rPr>
          <w:sz w:val="16"/>
          <w:vertAlign w:val="baseline"/>
        </w:rPr>
      </w:r>
      <w:bookmarkStart w:name="_bookmark33" w:id="45"/>
      <w:bookmarkEnd w:id="45"/>
      <w:r>
        <w:rPr>
          <w:sz w:val="16"/>
          <w:vertAlign w:val="baseline"/>
        </w:rPr>
        <w:t>2</w:t>
      </w:r>
      <w:r>
        <w:rPr>
          <w:sz w:val="16"/>
          <w:vertAlign w:val="baseline"/>
        </w:rPr>
        <w:t>4</w:t>
      </w:r>
      <w:r>
        <w:rPr>
          <w:spacing w:val="-1"/>
          <w:sz w:val="16"/>
          <w:vertAlign w:val="baseline"/>
        </w:rPr>
        <w:t> </w:t>
      </w:r>
      <w:r>
        <w:rPr>
          <w:sz w:val="16"/>
          <w:vertAlign w:val="baseline"/>
        </w:rPr>
        <w:t>CFR</w:t>
      </w:r>
      <w:r>
        <w:rPr>
          <w:spacing w:val="-1"/>
          <w:sz w:val="16"/>
          <w:vertAlign w:val="baseline"/>
        </w:rPr>
        <w:t> </w:t>
      </w:r>
      <w:r>
        <w:rPr>
          <w:spacing w:val="-2"/>
          <w:sz w:val="16"/>
          <w:vertAlign w:val="baseline"/>
        </w:rPr>
        <w:t>960.509(a)</w:t>
      </w:r>
    </w:p>
    <w:p>
      <w:pPr>
        <w:spacing w:line="183" w:lineRule="exact" w:before="0"/>
        <w:ind w:left="120" w:right="0" w:firstLine="0"/>
        <w:jc w:val="left"/>
        <w:rPr>
          <w:sz w:val="16"/>
        </w:rPr>
      </w:pPr>
      <w:hyperlink w:history="true" w:anchor="_bookmark30">
        <w:r>
          <w:rPr>
            <w:sz w:val="16"/>
            <w:vertAlign w:val="superscript"/>
          </w:rPr>
          <w:t>11</w:t>
        </w:r>
      </w:hyperlink>
      <w:r>
        <w:rPr>
          <w:spacing w:val="-2"/>
          <w:sz w:val="16"/>
          <w:vertAlign w:val="baseline"/>
        </w:rPr>
        <w:t> </w:t>
      </w:r>
      <w:bookmarkStart w:name="_bookmark34" w:id="46"/>
      <w:bookmarkEnd w:id="46"/>
      <w:r>
        <w:rPr>
          <w:sz w:val="16"/>
          <w:vertAlign w:val="baseline"/>
        </w:rPr>
        <w:t>2</w:t>
      </w:r>
      <w:r>
        <w:rPr>
          <w:sz w:val="16"/>
          <w:vertAlign w:val="baseline"/>
        </w:rPr>
        <w:t>4</w:t>
      </w:r>
      <w:r>
        <w:rPr>
          <w:spacing w:val="-2"/>
          <w:sz w:val="16"/>
          <w:vertAlign w:val="baseline"/>
        </w:rPr>
        <w:t> </w:t>
      </w:r>
      <w:r>
        <w:rPr>
          <w:sz w:val="16"/>
          <w:vertAlign w:val="baseline"/>
        </w:rPr>
        <w:t>CFR</w:t>
      </w:r>
      <w:r>
        <w:rPr>
          <w:spacing w:val="-3"/>
          <w:sz w:val="16"/>
          <w:vertAlign w:val="baseline"/>
        </w:rPr>
        <w:t> </w:t>
      </w:r>
      <w:r>
        <w:rPr>
          <w:sz w:val="16"/>
          <w:vertAlign w:val="baseline"/>
        </w:rPr>
        <w:t>960.507</w:t>
      </w:r>
      <w:r>
        <w:rPr>
          <w:spacing w:val="1"/>
          <w:sz w:val="16"/>
          <w:vertAlign w:val="baseline"/>
        </w:rPr>
        <w:t> </w:t>
      </w:r>
      <w:r>
        <w:rPr>
          <w:spacing w:val="-2"/>
          <w:sz w:val="16"/>
          <w:vertAlign w:val="baseline"/>
        </w:rPr>
        <w:t>(a)(1)(ii)</w:t>
      </w:r>
    </w:p>
    <w:p>
      <w:pPr>
        <w:spacing w:before="1"/>
        <w:ind w:left="120" w:right="0" w:firstLine="0"/>
        <w:jc w:val="left"/>
        <w:rPr>
          <w:sz w:val="16"/>
        </w:rPr>
      </w:pPr>
      <w:hyperlink w:history="true" w:anchor="_bookmark31">
        <w:r>
          <w:rPr>
            <w:sz w:val="16"/>
            <w:vertAlign w:val="superscript"/>
          </w:rPr>
          <w:t>12</w:t>
        </w:r>
      </w:hyperlink>
      <w:r>
        <w:rPr>
          <w:spacing w:val="-2"/>
          <w:sz w:val="16"/>
          <w:vertAlign w:val="baseline"/>
        </w:rPr>
        <w:t> </w:t>
      </w:r>
      <w:r>
        <w:rPr>
          <w:sz w:val="16"/>
          <w:vertAlign w:val="baseline"/>
        </w:rPr>
        <w:t>24</w:t>
      </w:r>
      <w:r>
        <w:rPr>
          <w:spacing w:val="-2"/>
          <w:sz w:val="16"/>
          <w:vertAlign w:val="baseline"/>
        </w:rPr>
        <w:t> </w:t>
      </w:r>
      <w:r>
        <w:rPr>
          <w:sz w:val="16"/>
          <w:vertAlign w:val="baseline"/>
        </w:rPr>
        <w:t>CFR</w:t>
      </w:r>
      <w:r>
        <w:rPr>
          <w:spacing w:val="-3"/>
          <w:sz w:val="16"/>
          <w:vertAlign w:val="baseline"/>
        </w:rPr>
        <w:t> </w:t>
      </w:r>
      <w:r>
        <w:rPr>
          <w:sz w:val="16"/>
          <w:vertAlign w:val="baseline"/>
        </w:rPr>
        <w:t>960.507</w:t>
      </w:r>
      <w:r>
        <w:rPr>
          <w:spacing w:val="1"/>
          <w:sz w:val="16"/>
          <w:vertAlign w:val="baseline"/>
        </w:rPr>
        <w:t> </w:t>
      </w:r>
      <w:r>
        <w:rPr>
          <w:spacing w:val="-2"/>
          <w:sz w:val="16"/>
          <w:vertAlign w:val="baseline"/>
        </w:rPr>
        <w:t>(a)(1)(iv)</w:t>
      </w:r>
    </w:p>
    <w:p>
      <w:pPr>
        <w:spacing w:after="0"/>
        <w:jc w:val="left"/>
        <w:rPr>
          <w:sz w:val="16"/>
        </w:rPr>
        <w:sectPr>
          <w:pgSz w:w="12240" w:h="15840"/>
          <w:pgMar w:header="0" w:footer="1033" w:top="1360" w:bottom="1220" w:left="1320" w:right="240"/>
        </w:sectPr>
      </w:pPr>
    </w:p>
    <w:p>
      <w:pPr>
        <w:pStyle w:val="BodyText"/>
        <w:spacing w:before="79"/>
        <w:ind w:left="120" w:right="1204"/>
      </w:pPr>
      <w:r>
        <w:rPr/>
        <w:t>lease per 24 CFR 960.509 and charge the alternative rent as of the effective date of the final rule or</w:t>
      </w:r>
      <w:r>
        <w:rPr>
          <w:spacing w:val="-3"/>
        </w:rPr>
        <w:t> </w:t>
      </w:r>
      <w:r>
        <w:rPr/>
        <w:t>terminate</w:t>
      </w:r>
      <w:r>
        <w:rPr>
          <w:spacing w:val="-4"/>
        </w:rPr>
        <w:t> </w:t>
      </w:r>
      <w:r>
        <w:rPr/>
        <w:t>the</w:t>
      </w:r>
      <w:r>
        <w:rPr>
          <w:spacing w:val="-3"/>
        </w:rPr>
        <w:t> </w:t>
      </w:r>
      <w:r>
        <w:rPr/>
        <w:t>tenancy of</w:t>
      </w:r>
      <w:r>
        <w:rPr>
          <w:spacing w:val="-3"/>
        </w:rPr>
        <w:t> </w:t>
      </w:r>
      <w:r>
        <w:rPr/>
        <w:t>these</w:t>
      </w:r>
      <w:r>
        <w:rPr>
          <w:spacing w:val="-3"/>
        </w:rPr>
        <w:t> </w:t>
      </w:r>
      <w:r>
        <w:rPr/>
        <w:t>families</w:t>
      </w:r>
      <w:r>
        <w:rPr>
          <w:spacing w:val="-2"/>
        </w:rPr>
        <w:t> </w:t>
      </w:r>
      <w:r>
        <w:rPr/>
        <w:t>in</w:t>
      </w:r>
      <w:r>
        <w:rPr>
          <w:spacing w:val="-2"/>
        </w:rPr>
        <w:t> </w:t>
      </w:r>
      <w:r>
        <w:rPr/>
        <w:t>accordance</w:t>
      </w:r>
      <w:r>
        <w:rPr>
          <w:spacing w:val="-4"/>
        </w:rPr>
        <w:t> </w:t>
      </w:r>
      <w:r>
        <w:rPr/>
        <w:t>with</w:t>
      </w:r>
      <w:r>
        <w:rPr>
          <w:spacing w:val="-2"/>
        </w:rPr>
        <w:t> </w:t>
      </w:r>
      <w:r>
        <w:rPr/>
        <w:t>their</w:t>
      </w:r>
      <w:r>
        <w:rPr>
          <w:spacing w:val="-3"/>
        </w:rPr>
        <w:t> </w:t>
      </w:r>
      <w:r>
        <w:rPr/>
        <w:t>OI</w:t>
      </w:r>
      <w:r>
        <w:rPr>
          <w:spacing w:val="-4"/>
        </w:rPr>
        <w:t> </w:t>
      </w:r>
      <w:r>
        <w:rPr/>
        <w:t>policy.</w:t>
      </w:r>
      <w:r>
        <w:rPr>
          <w:spacing w:val="-3"/>
        </w:rPr>
        <w:t> </w:t>
      </w:r>
      <w:r>
        <w:rPr/>
        <w:t>PHAs</w:t>
      </w:r>
      <w:r>
        <w:rPr>
          <w:spacing w:val="-2"/>
        </w:rPr>
        <w:t> </w:t>
      </w:r>
      <w:r>
        <w:rPr/>
        <w:t>must</w:t>
      </w:r>
      <w:r>
        <w:rPr>
          <w:spacing w:val="-2"/>
        </w:rPr>
        <w:t> </w:t>
      </w:r>
      <w:r>
        <w:rPr/>
        <w:t>provide these families proper notice in accordance with any Federal, State, and local laws.</w:t>
      </w:r>
    </w:p>
    <w:p>
      <w:pPr>
        <w:pStyle w:val="BodyText"/>
        <w:spacing w:before="3"/>
        <w:rPr>
          <w:sz w:val="31"/>
        </w:rPr>
      </w:pPr>
    </w:p>
    <w:p>
      <w:pPr>
        <w:pStyle w:val="ListParagraph"/>
        <w:numPr>
          <w:ilvl w:val="1"/>
          <w:numId w:val="2"/>
        </w:numPr>
        <w:tabs>
          <w:tab w:pos="1560" w:val="left" w:leader="none"/>
        </w:tabs>
        <w:spacing w:line="240" w:lineRule="auto" w:before="0" w:after="0"/>
        <w:ind w:left="1560" w:right="0" w:hanging="360"/>
        <w:jc w:val="left"/>
        <w:rPr>
          <w:sz w:val="24"/>
        </w:rPr>
      </w:pPr>
      <w:bookmarkStart w:name="e. Reporting Requirements" w:id="47"/>
      <w:bookmarkEnd w:id="47"/>
      <w:r>
        <w:rPr/>
      </w:r>
      <w:bookmarkStart w:name="_bookmark35" w:id="48"/>
      <w:bookmarkEnd w:id="48"/>
      <w:r>
        <w:rPr>
          <w:sz w:val="24"/>
        </w:rPr>
        <w:t>R</w:t>
      </w:r>
      <w:r>
        <w:rPr>
          <w:sz w:val="24"/>
        </w:rPr>
        <w:t>eporting</w:t>
      </w:r>
      <w:r>
        <w:rPr>
          <w:spacing w:val="-2"/>
          <w:sz w:val="24"/>
        </w:rPr>
        <w:t> Requirements</w:t>
      </w:r>
    </w:p>
    <w:p>
      <w:pPr>
        <w:pStyle w:val="BodyText"/>
        <w:spacing w:line="259" w:lineRule="auto" w:before="22"/>
        <w:ind w:left="120" w:right="1204"/>
      </w:pPr>
      <w:r>
        <w:rPr/>
        <w:t>In addition</w:t>
      </w:r>
      <w:r>
        <w:rPr>
          <w:spacing w:val="-1"/>
        </w:rPr>
        <w:t> </w:t>
      </w:r>
      <w:r>
        <w:rPr/>
        <w:t>to</w:t>
      </w:r>
      <w:r>
        <w:rPr>
          <w:spacing w:val="-1"/>
        </w:rPr>
        <w:t> </w:t>
      </w:r>
      <w:r>
        <w:rPr/>
        <w:t>the</w:t>
      </w:r>
      <w:r>
        <w:rPr>
          <w:spacing w:val="-2"/>
        </w:rPr>
        <w:t> </w:t>
      </w:r>
      <w:r>
        <w:rPr/>
        <w:t>new</w:t>
      </w:r>
      <w:r>
        <w:rPr>
          <w:spacing w:val="-1"/>
        </w:rPr>
        <w:t> </w:t>
      </w:r>
      <w:r>
        <w:rPr/>
        <w:t>requirements for</w:t>
      </w:r>
      <w:r>
        <w:rPr>
          <w:spacing w:val="-1"/>
        </w:rPr>
        <w:t> </w:t>
      </w:r>
      <w:r>
        <w:rPr/>
        <w:t>over-income</w:t>
      </w:r>
      <w:r>
        <w:rPr>
          <w:spacing w:val="-1"/>
        </w:rPr>
        <w:t> </w:t>
      </w:r>
      <w:r>
        <w:rPr/>
        <w:t>families, 24 CFR 960.507(f)</w:t>
      </w:r>
      <w:r>
        <w:rPr>
          <w:spacing w:val="-1"/>
        </w:rPr>
        <w:t> </w:t>
      </w:r>
      <w:r>
        <w:rPr/>
        <w:t>requires PHAs to report on two new data points annually: the total number of OI families residing in public housing and the total number of families </w:t>
      </w:r>
      <w:bookmarkStart w:name="_bookmark36" w:id="49"/>
      <w:bookmarkEnd w:id="49"/>
      <w:r>
        <w:rPr/>
        <w:t>on</w:t>
      </w:r>
      <w:r>
        <w:rPr/>
        <w:t> waiting lists for admission to the public housing projects of the agency as of end of the year.</w:t>
      </w:r>
      <w:hyperlink w:history="true" w:anchor="_bookmark37">
        <w:r>
          <w:rPr>
            <w:vertAlign w:val="superscript"/>
          </w:rPr>
          <w:t>13</w:t>
        </w:r>
      </w:hyperlink>
      <w:r>
        <w:rPr>
          <w:vertAlign w:val="baseline"/>
        </w:rPr>
        <w:t> The regulation uses the term ‘as of the end of the year’, and this notice makes clear that the ‘end of the year’ in this case will mean the end of the calendar</w:t>
      </w:r>
      <w:r>
        <w:rPr>
          <w:spacing w:val="-3"/>
          <w:vertAlign w:val="baseline"/>
        </w:rPr>
        <w:t> </w:t>
      </w:r>
      <w:r>
        <w:rPr>
          <w:vertAlign w:val="baseline"/>
        </w:rPr>
        <w:t>year</w:t>
      </w:r>
      <w:r>
        <w:rPr>
          <w:spacing w:val="-3"/>
          <w:vertAlign w:val="baseline"/>
        </w:rPr>
        <w:t> </w:t>
      </w:r>
      <w:r>
        <w:rPr>
          <w:vertAlign w:val="baseline"/>
        </w:rPr>
        <w:t>or</w:t>
      </w:r>
      <w:r>
        <w:rPr>
          <w:spacing w:val="-3"/>
          <w:vertAlign w:val="baseline"/>
        </w:rPr>
        <w:t> </w:t>
      </w:r>
      <w:r>
        <w:rPr>
          <w:vertAlign w:val="baseline"/>
        </w:rPr>
        <w:t>December</w:t>
      </w:r>
      <w:r>
        <w:rPr>
          <w:spacing w:val="-3"/>
          <w:vertAlign w:val="baseline"/>
        </w:rPr>
        <w:t> </w:t>
      </w:r>
      <w:r>
        <w:rPr>
          <w:vertAlign w:val="baseline"/>
        </w:rPr>
        <w:t>31</w:t>
      </w:r>
      <w:r>
        <w:rPr>
          <w:vertAlign w:val="superscript"/>
        </w:rPr>
        <w:t>st</w:t>
      </w:r>
      <w:r>
        <w:rPr>
          <w:vertAlign w:val="baseline"/>
        </w:rPr>
        <w:t>.</w:t>
      </w:r>
      <w:r>
        <w:rPr>
          <w:spacing w:val="40"/>
          <w:vertAlign w:val="baseline"/>
        </w:rPr>
        <w:t> </w:t>
      </w:r>
      <w:r>
        <w:rPr>
          <w:vertAlign w:val="baseline"/>
        </w:rPr>
        <w:t>Per</w:t>
      </w:r>
      <w:r>
        <w:rPr>
          <w:spacing w:val="-3"/>
          <w:vertAlign w:val="baseline"/>
        </w:rPr>
        <w:t> </w:t>
      </w:r>
      <w:r>
        <w:rPr>
          <w:vertAlign w:val="baseline"/>
        </w:rPr>
        <w:t>the</w:t>
      </w:r>
      <w:r>
        <w:rPr>
          <w:spacing w:val="-3"/>
          <w:vertAlign w:val="baseline"/>
        </w:rPr>
        <w:t> </w:t>
      </w:r>
      <w:r>
        <w:rPr>
          <w:vertAlign w:val="baseline"/>
        </w:rPr>
        <w:t>regulations,</w:t>
      </w:r>
      <w:r>
        <w:rPr>
          <w:spacing w:val="-2"/>
          <w:vertAlign w:val="baseline"/>
        </w:rPr>
        <w:t> </w:t>
      </w:r>
      <w:r>
        <w:rPr>
          <w:vertAlign w:val="baseline"/>
        </w:rPr>
        <w:t>this</w:t>
      </w:r>
      <w:r>
        <w:rPr>
          <w:spacing w:val="-2"/>
          <w:vertAlign w:val="baseline"/>
        </w:rPr>
        <w:t> </w:t>
      </w:r>
      <w:r>
        <w:rPr>
          <w:vertAlign w:val="baseline"/>
        </w:rPr>
        <w:t>information</w:t>
      </w:r>
      <w:r>
        <w:rPr>
          <w:spacing w:val="-2"/>
          <w:vertAlign w:val="baseline"/>
        </w:rPr>
        <w:t> </w:t>
      </w:r>
      <w:r>
        <w:rPr>
          <w:vertAlign w:val="baseline"/>
        </w:rPr>
        <w:t>must</w:t>
      </w:r>
      <w:r>
        <w:rPr>
          <w:spacing w:val="-4"/>
          <w:vertAlign w:val="baseline"/>
        </w:rPr>
        <w:t> </w:t>
      </w:r>
      <w:r>
        <w:rPr>
          <w:vertAlign w:val="baseline"/>
        </w:rPr>
        <w:t>also</w:t>
      </w:r>
      <w:r>
        <w:rPr>
          <w:spacing w:val="-2"/>
          <w:vertAlign w:val="baseline"/>
        </w:rPr>
        <w:t> </w:t>
      </w:r>
      <w:r>
        <w:rPr>
          <w:vertAlign w:val="baseline"/>
        </w:rPr>
        <w:t>be</w:t>
      </w:r>
      <w:r>
        <w:rPr>
          <w:spacing w:val="-3"/>
          <w:vertAlign w:val="baseline"/>
        </w:rPr>
        <w:t> </w:t>
      </w:r>
      <w:r>
        <w:rPr>
          <w:vertAlign w:val="baseline"/>
        </w:rPr>
        <w:t>made</w:t>
      </w:r>
      <w:r>
        <w:rPr>
          <w:spacing w:val="-4"/>
          <w:vertAlign w:val="baseline"/>
        </w:rPr>
        <w:t> </w:t>
      </w:r>
      <w:r>
        <w:rPr>
          <w:vertAlign w:val="baseline"/>
        </w:rPr>
        <w:t>publicly </w:t>
      </w:r>
      <w:r>
        <w:rPr>
          <w:spacing w:val="-2"/>
          <w:vertAlign w:val="baseline"/>
        </w:rPr>
        <w:t>available.</w:t>
      </w:r>
    </w:p>
    <w:p>
      <w:pPr>
        <w:pStyle w:val="BodyText"/>
        <w:spacing w:before="158"/>
        <w:ind w:left="120"/>
      </w:pPr>
      <w:r>
        <w:rPr/>
        <w:t>To</w:t>
      </w:r>
      <w:r>
        <w:rPr>
          <w:spacing w:val="-4"/>
        </w:rPr>
        <w:t> </w:t>
      </w:r>
      <w:r>
        <w:rPr/>
        <w:t>minimize</w:t>
      </w:r>
      <w:r>
        <w:rPr>
          <w:spacing w:val="-3"/>
        </w:rPr>
        <w:t> </w:t>
      </w:r>
      <w:r>
        <w:rPr/>
        <w:t>the</w:t>
      </w:r>
      <w:r>
        <w:rPr>
          <w:spacing w:val="-3"/>
        </w:rPr>
        <w:t> </w:t>
      </w:r>
      <w:r>
        <w:rPr/>
        <w:t>additional</w:t>
      </w:r>
      <w:r>
        <w:rPr>
          <w:spacing w:val="-2"/>
        </w:rPr>
        <w:t> </w:t>
      </w:r>
      <w:r>
        <w:rPr/>
        <w:t>reporting</w:t>
      </w:r>
      <w:r>
        <w:rPr>
          <w:spacing w:val="-2"/>
        </w:rPr>
        <w:t> </w:t>
      </w:r>
      <w:r>
        <w:rPr/>
        <w:t>burden,</w:t>
      </w:r>
      <w:r>
        <w:rPr>
          <w:spacing w:val="-1"/>
        </w:rPr>
        <w:t> </w:t>
      </w:r>
      <w:r>
        <w:rPr/>
        <w:t>HUD</w:t>
      </w:r>
      <w:r>
        <w:rPr>
          <w:spacing w:val="-3"/>
        </w:rPr>
        <w:t> </w:t>
      </w:r>
      <w:r>
        <w:rPr/>
        <w:t>has</w:t>
      </w:r>
      <w:r>
        <w:rPr>
          <w:spacing w:val="-2"/>
        </w:rPr>
        <w:t> </w:t>
      </w:r>
      <w:r>
        <w:rPr/>
        <w:t>taken</w:t>
      </w:r>
      <w:r>
        <w:rPr>
          <w:spacing w:val="-2"/>
        </w:rPr>
        <w:t> </w:t>
      </w:r>
      <w:r>
        <w:rPr/>
        <w:t>the</w:t>
      </w:r>
      <w:r>
        <w:rPr>
          <w:spacing w:val="-1"/>
        </w:rPr>
        <w:t> </w:t>
      </w:r>
      <w:r>
        <w:rPr/>
        <w:t>following</w:t>
      </w:r>
      <w:r>
        <w:rPr>
          <w:spacing w:val="-3"/>
        </w:rPr>
        <w:t> </w:t>
      </w:r>
      <w:r>
        <w:rPr>
          <w:spacing w:val="-2"/>
        </w:rPr>
        <w:t>steps:</w:t>
      </w:r>
    </w:p>
    <w:p>
      <w:pPr>
        <w:spacing w:before="182"/>
        <w:ind w:left="120" w:right="0" w:firstLine="0"/>
        <w:jc w:val="left"/>
        <w:rPr>
          <w:i/>
          <w:sz w:val="24"/>
        </w:rPr>
      </w:pPr>
      <w:r>
        <w:rPr>
          <w:i/>
          <w:sz w:val="24"/>
        </w:rPr>
        <w:t>Data</w:t>
      </w:r>
      <w:r>
        <w:rPr>
          <w:i/>
          <w:spacing w:val="-2"/>
          <w:sz w:val="24"/>
        </w:rPr>
        <w:t> </w:t>
      </w:r>
      <w:r>
        <w:rPr>
          <w:i/>
          <w:sz w:val="24"/>
        </w:rPr>
        <w:t>on</w:t>
      </w:r>
      <w:r>
        <w:rPr>
          <w:i/>
          <w:spacing w:val="-2"/>
          <w:sz w:val="24"/>
        </w:rPr>
        <w:t> </w:t>
      </w:r>
      <w:r>
        <w:rPr>
          <w:i/>
          <w:sz w:val="24"/>
        </w:rPr>
        <w:t>the</w:t>
      </w:r>
      <w:r>
        <w:rPr>
          <w:i/>
          <w:spacing w:val="-3"/>
          <w:sz w:val="24"/>
        </w:rPr>
        <w:t> </w:t>
      </w:r>
      <w:r>
        <w:rPr>
          <w:i/>
          <w:sz w:val="24"/>
        </w:rPr>
        <w:t>number</w:t>
      </w:r>
      <w:r>
        <w:rPr>
          <w:i/>
          <w:spacing w:val="-2"/>
          <w:sz w:val="24"/>
        </w:rPr>
        <w:t> </w:t>
      </w:r>
      <w:r>
        <w:rPr>
          <w:i/>
          <w:sz w:val="24"/>
        </w:rPr>
        <w:t>of</w:t>
      </w:r>
      <w:r>
        <w:rPr>
          <w:i/>
          <w:spacing w:val="-1"/>
          <w:sz w:val="24"/>
        </w:rPr>
        <w:t> </w:t>
      </w:r>
      <w:r>
        <w:rPr>
          <w:i/>
          <w:sz w:val="24"/>
        </w:rPr>
        <w:t>OI</w:t>
      </w:r>
      <w:r>
        <w:rPr>
          <w:i/>
          <w:spacing w:val="-3"/>
          <w:sz w:val="24"/>
        </w:rPr>
        <w:t> </w:t>
      </w:r>
      <w:r>
        <w:rPr>
          <w:i/>
          <w:sz w:val="24"/>
        </w:rPr>
        <w:t>families</w:t>
      </w:r>
      <w:r>
        <w:rPr>
          <w:i/>
          <w:spacing w:val="-2"/>
          <w:sz w:val="24"/>
        </w:rPr>
        <w:t> </w:t>
      </w:r>
      <w:r>
        <w:rPr>
          <w:i/>
          <w:sz w:val="24"/>
        </w:rPr>
        <w:t>residing</w:t>
      </w:r>
      <w:r>
        <w:rPr>
          <w:i/>
          <w:spacing w:val="-2"/>
          <w:sz w:val="24"/>
        </w:rPr>
        <w:t> </w:t>
      </w:r>
      <w:r>
        <w:rPr>
          <w:i/>
          <w:sz w:val="24"/>
        </w:rPr>
        <w:t>in</w:t>
      </w:r>
      <w:r>
        <w:rPr>
          <w:i/>
          <w:spacing w:val="-2"/>
          <w:sz w:val="24"/>
        </w:rPr>
        <w:t> </w:t>
      </w:r>
      <w:r>
        <w:rPr>
          <w:i/>
          <w:sz w:val="24"/>
        </w:rPr>
        <w:t>public</w:t>
      </w:r>
      <w:r>
        <w:rPr>
          <w:i/>
          <w:spacing w:val="-4"/>
          <w:sz w:val="24"/>
        </w:rPr>
        <w:t> </w:t>
      </w:r>
      <w:r>
        <w:rPr>
          <w:i/>
          <w:spacing w:val="-2"/>
          <w:sz w:val="24"/>
        </w:rPr>
        <w:t>housing</w:t>
      </w:r>
    </w:p>
    <w:p>
      <w:pPr>
        <w:pStyle w:val="BodyText"/>
        <w:spacing w:line="259" w:lineRule="auto"/>
        <w:ind w:left="120" w:right="1220"/>
      </w:pPr>
      <w:r>
        <w:rPr/>
        <w:t>The number of families residing in public housing with incomes exceeding the over-income limitation will include the number of families in the 24 consecutive month grace period, those that</w:t>
      </w:r>
      <w:r>
        <w:rPr>
          <w:spacing w:val="-3"/>
        </w:rPr>
        <w:t> </w:t>
      </w:r>
      <w:r>
        <w:rPr/>
        <w:t>are</w:t>
      </w:r>
      <w:r>
        <w:rPr>
          <w:spacing w:val="-4"/>
        </w:rPr>
        <w:t> </w:t>
      </w:r>
      <w:r>
        <w:rPr/>
        <w:t>in</w:t>
      </w:r>
      <w:r>
        <w:rPr>
          <w:spacing w:val="-3"/>
        </w:rPr>
        <w:t> </w:t>
      </w:r>
      <w:r>
        <w:rPr/>
        <w:t>the</w:t>
      </w:r>
      <w:r>
        <w:rPr>
          <w:spacing w:val="-4"/>
        </w:rPr>
        <w:t> </w:t>
      </w:r>
      <w:r>
        <w:rPr/>
        <w:t>period</w:t>
      </w:r>
      <w:r>
        <w:rPr>
          <w:spacing w:val="-3"/>
        </w:rPr>
        <w:t> </w:t>
      </w:r>
      <w:r>
        <w:rPr/>
        <w:t>before</w:t>
      </w:r>
      <w:r>
        <w:rPr>
          <w:spacing w:val="-4"/>
        </w:rPr>
        <w:t> </w:t>
      </w:r>
      <w:r>
        <w:rPr/>
        <w:t>termination</w:t>
      </w:r>
      <w:r>
        <w:rPr>
          <w:spacing w:val="-3"/>
        </w:rPr>
        <w:t> </w:t>
      </w:r>
      <w:r>
        <w:rPr/>
        <w:t>and</w:t>
      </w:r>
      <w:r>
        <w:rPr>
          <w:spacing w:val="-3"/>
        </w:rPr>
        <w:t> </w:t>
      </w:r>
      <w:r>
        <w:rPr/>
        <w:t>those</w:t>
      </w:r>
      <w:r>
        <w:rPr>
          <w:spacing w:val="-2"/>
        </w:rPr>
        <w:t> </w:t>
      </w:r>
      <w:r>
        <w:rPr/>
        <w:t>that</w:t>
      </w:r>
      <w:r>
        <w:rPr>
          <w:spacing w:val="-3"/>
        </w:rPr>
        <w:t> </w:t>
      </w:r>
      <w:r>
        <w:rPr/>
        <w:t>are</w:t>
      </w:r>
      <w:r>
        <w:rPr>
          <w:spacing w:val="-5"/>
        </w:rPr>
        <w:t> </w:t>
      </w:r>
      <w:r>
        <w:rPr/>
        <w:t>NPHOI</w:t>
      </w:r>
      <w:r>
        <w:rPr>
          <w:spacing w:val="-4"/>
        </w:rPr>
        <w:t> </w:t>
      </w:r>
      <w:r>
        <w:rPr/>
        <w:t>families</w:t>
      </w:r>
      <w:r>
        <w:rPr>
          <w:spacing w:val="-1"/>
        </w:rPr>
        <w:t> </w:t>
      </w:r>
      <w:r>
        <w:rPr/>
        <w:t>paying</w:t>
      </w:r>
      <w:r>
        <w:rPr>
          <w:spacing w:val="-3"/>
        </w:rPr>
        <w:t> </w:t>
      </w:r>
      <w:r>
        <w:rPr/>
        <w:t>the</w:t>
      </w:r>
      <w:r>
        <w:rPr>
          <w:spacing w:val="-4"/>
        </w:rPr>
        <w:t> </w:t>
      </w:r>
      <w:r>
        <w:rPr/>
        <w:t>alternative rent. PHAs will report on the number of OI families residing in public housing through income data already provided by form HUD-50058, under OMB approval number 2577-0083 and through unit data in the Inventory Management System/PIH Information Center (IMS/PIC) and/or its successor system: the Housing Information Portal (HIP). Therefore, this report will require no additional action on the part of PHAs. HUD will pull a report of this data as of December 31</w:t>
      </w:r>
      <w:r>
        <w:rPr>
          <w:vertAlign w:val="superscript"/>
        </w:rPr>
        <w:t>st</w:t>
      </w:r>
      <w:r>
        <w:rPr>
          <w:vertAlign w:val="baseline"/>
        </w:rPr>
        <w:t> each year and make in publicly available.</w:t>
      </w:r>
    </w:p>
    <w:p>
      <w:pPr>
        <w:spacing w:before="159"/>
        <w:ind w:left="120" w:right="0" w:firstLine="0"/>
        <w:jc w:val="left"/>
        <w:rPr>
          <w:i/>
          <w:sz w:val="24"/>
        </w:rPr>
      </w:pPr>
      <w:r>
        <w:rPr>
          <w:i/>
          <w:sz w:val="24"/>
        </w:rPr>
        <w:t>Data</w:t>
      </w:r>
      <w:r>
        <w:rPr>
          <w:i/>
          <w:spacing w:val="-2"/>
          <w:sz w:val="24"/>
        </w:rPr>
        <w:t> </w:t>
      </w:r>
      <w:r>
        <w:rPr>
          <w:i/>
          <w:sz w:val="24"/>
        </w:rPr>
        <w:t>on</w:t>
      </w:r>
      <w:r>
        <w:rPr>
          <w:i/>
          <w:spacing w:val="-2"/>
          <w:sz w:val="24"/>
        </w:rPr>
        <w:t> </w:t>
      </w:r>
      <w:r>
        <w:rPr>
          <w:i/>
          <w:sz w:val="24"/>
        </w:rPr>
        <w:t>the</w:t>
      </w:r>
      <w:r>
        <w:rPr>
          <w:i/>
          <w:spacing w:val="-3"/>
          <w:sz w:val="24"/>
        </w:rPr>
        <w:t> </w:t>
      </w:r>
      <w:r>
        <w:rPr>
          <w:i/>
          <w:sz w:val="24"/>
        </w:rPr>
        <w:t>number</w:t>
      </w:r>
      <w:r>
        <w:rPr>
          <w:i/>
          <w:spacing w:val="-2"/>
          <w:sz w:val="24"/>
        </w:rPr>
        <w:t> </w:t>
      </w:r>
      <w:r>
        <w:rPr>
          <w:i/>
          <w:sz w:val="24"/>
        </w:rPr>
        <w:t>of families</w:t>
      </w:r>
      <w:r>
        <w:rPr>
          <w:i/>
          <w:spacing w:val="-2"/>
          <w:sz w:val="24"/>
        </w:rPr>
        <w:t> </w:t>
      </w:r>
      <w:r>
        <w:rPr>
          <w:i/>
          <w:sz w:val="24"/>
        </w:rPr>
        <w:t>on</w:t>
      </w:r>
      <w:r>
        <w:rPr>
          <w:i/>
          <w:spacing w:val="-2"/>
          <w:sz w:val="24"/>
        </w:rPr>
        <w:t> </w:t>
      </w:r>
      <w:r>
        <w:rPr>
          <w:i/>
          <w:sz w:val="24"/>
        </w:rPr>
        <w:t>waiting</w:t>
      </w:r>
      <w:r>
        <w:rPr>
          <w:i/>
          <w:spacing w:val="-2"/>
          <w:sz w:val="24"/>
        </w:rPr>
        <w:t> </w:t>
      </w:r>
      <w:r>
        <w:rPr>
          <w:i/>
          <w:sz w:val="24"/>
        </w:rPr>
        <w:t>lists</w:t>
      </w:r>
      <w:r>
        <w:rPr>
          <w:i/>
          <w:spacing w:val="-2"/>
          <w:sz w:val="24"/>
        </w:rPr>
        <w:t> </w:t>
      </w:r>
      <w:r>
        <w:rPr>
          <w:i/>
          <w:sz w:val="24"/>
        </w:rPr>
        <w:t>for</w:t>
      </w:r>
      <w:r>
        <w:rPr>
          <w:i/>
          <w:spacing w:val="-4"/>
          <w:sz w:val="24"/>
        </w:rPr>
        <w:t> </w:t>
      </w:r>
      <w:r>
        <w:rPr>
          <w:i/>
          <w:sz w:val="24"/>
        </w:rPr>
        <w:t>admission</w:t>
      </w:r>
      <w:r>
        <w:rPr>
          <w:i/>
          <w:spacing w:val="-2"/>
          <w:sz w:val="24"/>
        </w:rPr>
        <w:t> </w:t>
      </w:r>
      <w:r>
        <w:rPr>
          <w:i/>
          <w:sz w:val="24"/>
        </w:rPr>
        <w:t>to</w:t>
      </w:r>
      <w:r>
        <w:rPr>
          <w:i/>
          <w:spacing w:val="-2"/>
          <w:sz w:val="24"/>
        </w:rPr>
        <w:t> </w:t>
      </w:r>
      <w:r>
        <w:rPr>
          <w:i/>
          <w:sz w:val="24"/>
        </w:rPr>
        <w:t>public</w:t>
      </w:r>
      <w:r>
        <w:rPr>
          <w:i/>
          <w:spacing w:val="-4"/>
          <w:sz w:val="24"/>
        </w:rPr>
        <w:t> </w:t>
      </w:r>
      <w:r>
        <w:rPr>
          <w:i/>
          <w:sz w:val="24"/>
        </w:rPr>
        <w:t>housing</w:t>
      </w:r>
      <w:r>
        <w:rPr>
          <w:i/>
          <w:spacing w:val="-2"/>
          <w:sz w:val="24"/>
        </w:rPr>
        <w:t> projects</w:t>
      </w:r>
    </w:p>
    <w:p>
      <w:pPr>
        <w:pStyle w:val="BodyText"/>
        <w:ind w:left="120" w:right="1204"/>
      </w:pPr>
      <w:r>
        <w:rPr/>
        <w:t>The additional burden to submit waitlist data is a new requirement for all PHAs with a public housing program and the reporting period of this requirement will begin January 1, 2024. This is the earliest date PHAs can submit waiting list date to HUD. This data must be submitted via a new</w:t>
      </w:r>
      <w:r>
        <w:rPr>
          <w:spacing w:val="-4"/>
        </w:rPr>
        <w:t> </w:t>
      </w:r>
      <w:r>
        <w:rPr/>
        <w:t>electronic</w:t>
      </w:r>
      <w:r>
        <w:rPr>
          <w:spacing w:val="-5"/>
        </w:rPr>
        <w:t> </w:t>
      </w:r>
      <w:r>
        <w:rPr/>
        <w:t>data</w:t>
      </w:r>
      <w:r>
        <w:rPr>
          <w:spacing w:val="-2"/>
        </w:rPr>
        <w:t> </w:t>
      </w:r>
      <w:r>
        <w:rPr/>
        <w:t>collection</w:t>
      </w:r>
      <w:r>
        <w:rPr>
          <w:spacing w:val="-3"/>
        </w:rPr>
        <w:t> </w:t>
      </w:r>
      <w:r>
        <w:rPr/>
        <w:t>tool</w:t>
      </w:r>
      <w:r>
        <w:rPr>
          <w:spacing w:val="-3"/>
        </w:rPr>
        <w:t> </w:t>
      </w:r>
      <w:r>
        <w:rPr/>
        <w:t>that</w:t>
      </w:r>
      <w:r>
        <w:rPr>
          <w:spacing w:val="-3"/>
        </w:rPr>
        <w:t> </w:t>
      </w:r>
      <w:r>
        <w:rPr/>
        <w:t>has</w:t>
      </w:r>
      <w:r>
        <w:rPr>
          <w:spacing w:val="-3"/>
        </w:rPr>
        <w:t> </w:t>
      </w:r>
      <w:r>
        <w:rPr/>
        <w:t>been</w:t>
      </w:r>
      <w:r>
        <w:rPr>
          <w:spacing w:val="-3"/>
        </w:rPr>
        <w:t> </w:t>
      </w:r>
      <w:r>
        <w:rPr/>
        <w:t>developed</w:t>
      </w:r>
      <w:r>
        <w:rPr>
          <w:spacing w:val="-3"/>
        </w:rPr>
        <w:t> </w:t>
      </w:r>
      <w:r>
        <w:rPr/>
        <w:t>in</w:t>
      </w:r>
      <w:r>
        <w:rPr>
          <w:spacing w:val="-3"/>
        </w:rPr>
        <w:t> </w:t>
      </w:r>
      <w:r>
        <w:rPr/>
        <w:t>the</w:t>
      </w:r>
      <w:r>
        <w:rPr>
          <w:spacing w:val="-5"/>
        </w:rPr>
        <w:t> </w:t>
      </w:r>
      <w:r>
        <w:rPr/>
        <w:t>Operating</w:t>
      </w:r>
      <w:r>
        <w:rPr>
          <w:spacing w:val="-3"/>
        </w:rPr>
        <w:t> </w:t>
      </w:r>
      <w:r>
        <w:rPr/>
        <w:t>Fund</w:t>
      </w:r>
      <w:r>
        <w:rPr>
          <w:spacing w:val="-3"/>
        </w:rPr>
        <w:t> </w:t>
      </w:r>
      <w:r>
        <w:rPr/>
        <w:t>Web</w:t>
      </w:r>
      <w:r>
        <w:rPr>
          <w:spacing w:val="-3"/>
        </w:rPr>
        <w:t> </w:t>
      </w:r>
      <w:r>
        <w:rPr/>
        <w:t>portal.</w:t>
      </w:r>
      <w:r>
        <w:rPr>
          <w:spacing w:val="-3"/>
        </w:rPr>
        <w:t> </w:t>
      </w:r>
      <w:r>
        <w:rPr/>
        <w:t>As this is an existing HUD system that PHAs are already familiar with and comfortable working in, it is expected that the additional burden will be minimal.</w:t>
      </w:r>
    </w:p>
    <w:p>
      <w:pPr>
        <w:pStyle w:val="BodyText"/>
      </w:pPr>
    </w:p>
    <w:p>
      <w:pPr>
        <w:pStyle w:val="BodyText"/>
        <w:ind w:left="120" w:right="1233"/>
      </w:pPr>
      <w:r>
        <w:rPr/>
        <w:t>A PHA that maintains both an agency-wide and site-based wait lists, should be mindful not to duplicate households when reporting on the total number of families on the waiting list. All information provided, such as the number of households and the status of the waiting list (open or</w:t>
      </w:r>
      <w:r>
        <w:rPr>
          <w:spacing w:val="-3"/>
        </w:rPr>
        <w:t> </w:t>
      </w:r>
      <w:r>
        <w:rPr/>
        <w:t>closed),</w:t>
      </w:r>
      <w:r>
        <w:rPr>
          <w:spacing w:val="-3"/>
        </w:rPr>
        <w:t> </w:t>
      </w:r>
      <w:r>
        <w:rPr/>
        <w:t>should</w:t>
      </w:r>
      <w:r>
        <w:rPr>
          <w:spacing w:val="-2"/>
        </w:rPr>
        <w:t> </w:t>
      </w:r>
      <w:r>
        <w:rPr/>
        <w:t>be</w:t>
      </w:r>
      <w:r>
        <w:rPr>
          <w:spacing w:val="-1"/>
        </w:rPr>
        <w:t> </w:t>
      </w:r>
      <w:r>
        <w:rPr/>
        <w:t>current</w:t>
      </w:r>
      <w:r>
        <w:rPr>
          <w:spacing w:val="-2"/>
        </w:rPr>
        <w:t> </w:t>
      </w:r>
      <w:r>
        <w:rPr/>
        <w:t>as</w:t>
      </w:r>
      <w:r>
        <w:rPr>
          <w:spacing w:val="-2"/>
        </w:rPr>
        <w:t> </w:t>
      </w:r>
      <w:r>
        <w:rPr/>
        <w:t>of</w:t>
      </w:r>
      <w:r>
        <w:rPr>
          <w:spacing w:val="-3"/>
        </w:rPr>
        <w:t> </w:t>
      </w:r>
      <w:r>
        <w:rPr/>
        <w:t>December</w:t>
      </w:r>
      <w:r>
        <w:rPr>
          <w:spacing w:val="-3"/>
        </w:rPr>
        <w:t> </w:t>
      </w:r>
      <w:r>
        <w:rPr/>
        <w:t>31st</w:t>
      </w:r>
      <w:r>
        <w:rPr>
          <w:spacing w:val="-2"/>
        </w:rPr>
        <w:t> </w:t>
      </w:r>
      <w:r>
        <w:rPr/>
        <w:t>of</w:t>
      </w:r>
      <w:r>
        <w:rPr>
          <w:spacing w:val="-3"/>
        </w:rPr>
        <w:t> </w:t>
      </w:r>
      <w:r>
        <w:rPr/>
        <w:t>the</w:t>
      </w:r>
      <w:r>
        <w:rPr>
          <w:spacing w:val="-3"/>
        </w:rPr>
        <w:t> </w:t>
      </w:r>
      <w:r>
        <w:rPr/>
        <w:t>previous</w:t>
      </w:r>
      <w:r>
        <w:rPr>
          <w:spacing w:val="-2"/>
        </w:rPr>
        <w:t> </w:t>
      </w:r>
      <w:r>
        <w:rPr/>
        <w:t>calendar</w:t>
      </w:r>
      <w:r>
        <w:rPr>
          <w:spacing w:val="-1"/>
        </w:rPr>
        <w:t> </w:t>
      </w:r>
      <w:r>
        <w:rPr/>
        <w:t>year.</w:t>
      </w:r>
      <w:r>
        <w:rPr>
          <w:spacing w:val="-2"/>
        </w:rPr>
        <w:t> </w:t>
      </w:r>
      <w:r>
        <w:rPr/>
        <w:t>The</w:t>
      </w:r>
      <w:r>
        <w:rPr>
          <w:spacing w:val="-3"/>
        </w:rPr>
        <w:t> </w:t>
      </w:r>
      <w:r>
        <w:rPr/>
        <w:t>data</w:t>
      </w:r>
      <w:r>
        <w:rPr>
          <w:spacing w:val="-4"/>
        </w:rPr>
        <w:t> </w:t>
      </w:r>
      <w:r>
        <w:rPr/>
        <w:t>may</w:t>
      </w:r>
      <w:r>
        <w:rPr>
          <w:spacing w:val="-2"/>
        </w:rPr>
        <w:t> </w:t>
      </w:r>
      <w:r>
        <w:rPr/>
        <w:t>be provided by any authorized PHA official but will require the electronic signature of the Executive Director.</w:t>
      </w:r>
    </w:p>
    <w:p>
      <w:pPr>
        <w:pStyle w:val="BodyText"/>
        <w:spacing w:before="1"/>
      </w:pPr>
    </w:p>
    <w:p>
      <w:pPr>
        <w:pStyle w:val="BodyText"/>
        <w:spacing w:line="259" w:lineRule="auto"/>
        <w:ind w:left="120" w:right="1268"/>
      </w:pPr>
      <w:r>
        <w:rPr/>
        <w:t>HUD will make this new reporting module available beginning on January 1</w:t>
      </w:r>
      <w:r>
        <w:rPr>
          <w:vertAlign w:val="superscript"/>
        </w:rPr>
        <w:t>st</w:t>
      </w:r>
      <w:r>
        <w:rPr>
          <w:vertAlign w:val="baseline"/>
        </w:rPr>
        <w:t> and all submissions will be due by March 31</w:t>
      </w:r>
      <w:r>
        <w:rPr>
          <w:vertAlign w:val="superscript"/>
        </w:rPr>
        <w:t>st</w:t>
      </w:r>
      <w:r>
        <w:rPr>
          <w:vertAlign w:val="baseline"/>
        </w:rPr>
        <w:t> of each year. A user guide and training video for the </w:t>
      </w:r>
      <w:r>
        <w:rPr>
          <w:i/>
          <w:vertAlign w:val="baseline"/>
        </w:rPr>
        <w:t>Public</w:t>
      </w:r>
      <w:r>
        <w:rPr>
          <w:i/>
          <w:spacing w:val="-4"/>
          <w:vertAlign w:val="baseline"/>
        </w:rPr>
        <w:t> </w:t>
      </w:r>
      <w:r>
        <w:rPr>
          <w:i/>
          <w:vertAlign w:val="baseline"/>
        </w:rPr>
        <w:t>Housing</w:t>
      </w:r>
      <w:r>
        <w:rPr>
          <w:i/>
          <w:spacing w:val="-3"/>
          <w:vertAlign w:val="baseline"/>
        </w:rPr>
        <w:t> </w:t>
      </w:r>
      <w:r>
        <w:rPr>
          <w:i/>
          <w:vertAlign w:val="baseline"/>
        </w:rPr>
        <w:t>Waiting</w:t>
      </w:r>
      <w:r>
        <w:rPr>
          <w:i/>
          <w:spacing w:val="-3"/>
          <w:vertAlign w:val="baseline"/>
        </w:rPr>
        <w:t> </w:t>
      </w:r>
      <w:r>
        <w:rPr>
          <w:i/>
          <w:vertAlign w:val="baseline"/>
        </w:rPr>
        <w:t>List</w:t>
      </w:r>
      <w:r>
        <w:rPr>
          <w:i/>
          <w:spacing w:val="-3"/>
          <w:vertAlign w:val="baseline"/>
        </w:rPr>
        <w:t> </w:t>
      </w:r>
      <w:r>
        <w:rPr>
          <w:i/>
          <w:vertAlign w:val="baseline"/>
        </w:rPr>
        <w:t>Data</w:t>
      </w:r>
      <w:r>
        <w:rPr>
          <w:i/>
          <w:spacing w:val="-3"/>
          <w:vertAlign w:val="baseline"/>
        </w:rPr>
        <w:t> </w:t>
      </w:r>
      <w:r>
        <w:rPr>
          <w:i/>
          <w:vertAlign w:val="baseline"/>
        </w:rPr>
        <w:t>Collection</w:t>
      </w:r>
      <w:r>
        <w:rPr>
          <w:i/>
          <w:spacing w:val="-3"/>
          <w:vertAlign w:val="baseline"/>
        </w:rPr>
        <w:t> </w:t>
      </w:r>
      <w:r>
        <w:rPr>
          <w:i/>
          <w:vertAlign w:val="baseline"/>
        </w:rPr>
        <w:t>Tool</w:t>
      </w:r>
      <w:r>
        <w:rPr>
          <w:i/>
          <w:spacing w:val="-2"/>
          <w:vertAlign w:val="baseline"/>
        </w:rPr>
        <w:t> </w:t>
      </w:r>
      <w:r>
        <w:rPr>
          <w:vertAlign w:val="baseline"/>
        </w:rPr>
        <w:t>will</w:t>
      </w:r>
      <w:r>
        <w:rPr>
          <w:spacing w:val="-3"/>
          <w:vertAlign w:val="baseline"/>
        </w:rPr>
        <w:t> </w:t>
      </w:r>
      <w:r>
        <w:rPr>
          <w:vertAlign w:val="baseline"/>
        </w:rPr>
        <w:t>be</w:t>
      </w:r>
      <w:r>
        <w:rPr>
          <w:spacing w:val="-5"/>
          <w:vertAlign w:val="baseline"/>
        </w:rPr>
        <w:t> </w:t>
      </w:r>
      <w:r>
        <w:rPr>
          <w:vertAlign w:val="baseline"/>
        </w:rPr>
        <w:t>provided</w:t>
      </w:r>
      <w:r>
        <w:rPr>
          <w:spacing w:val="-3"/>
          <w:vertAlign w:val="baseline"/>
        </w:rPr>
        <w:t> </w:t>
      </w:r>
      <w:r>
        <w:rPr>
          <w:vertAlign w:val="baseline"/>
        </w:rPr>
        <w:t>on</w:t>
      </w:r>
      <w:r>
        <w:rPr>
          <w:spacing w:val="-3"/>
          <w:vertAlign w:val="baseline"/>
        </w:rPr>
        <w:t> </w:t>
      </w:r>
      <w:r>
        <w:rPr>
          <w:vertAlign w:val="baseline"/>
        </w:rPr>
        <w:t>the</w:t>
      </w:r>
      <w:r>
        <w:rPr>
          <w:spacing w:val="-4"/>
          <w:vertAlign w:val="baseline"/>
        </w:rPr>
        <w:t> </w:t>
      </w:r>
      <w:r>
        <w:rPr>
          <w:vertAlign w:val="baseline"/>
        </w:rPr>
        <w:t>Operating</w:t>
      </w:r>
      <w:r>
        <w:rPr>
          <w:spacing w:val="-1"/>
          <w:vertAlign w:val="baseline"/>
        </w:rPr>
        <w:t> </w:t>
      </w:r>
      <w:r>
        <w:rPr>
          <w:vertAlign w:val="baseline"/>
        </w:rPr>
        <w:t>Fund</w:t>
      </w:r>
      <w:r>
        <w:rPr>
          <w:spacing w:val="-3"/>
          <w:vertAlign w:val="baseline"/>
        </w:rPr>
        <w:t> </w:t>
      </w:r>
      <w:r>
        <w:rPr>
          <w:vertAlign w:val="baseline"/>
        </w:rPr>
        <w:t>Web</w:t>
      </w:r>
    </w:p>
    <w:p>
      <w:pPr>
        <w:pStyle w:val="BodyText"/>
        <w:spacing w:before="9"/>
        <w:rPr>
          <w:sz w:val="25"/>
        </w:rPr>
      </w:pPr>
      <w:r>
        <w:rPr/>
        <w:pict>
          <v:rect style="position:absolute;margin-left:72pt;margin-top:16.04917pt;width:144pt;height:.71pt;mso-position-horizontal-relative:page;mso-position-vertical-relative:paragraph;z-index:-15724032;mso-wrap-distance-left:0;mso-wrap-distance-right:0" id="docshape12" filled="true" fillcolor="#000000" stroked="false">
            <v:fill type="solid"/>
            <w10:wrap type="topAndBottom"/>
          </v:rect>
        </w:pict>
      </w:r>
    </w:p>
    <w:p>
      <w:pPr>
        <w:spacing w:before="103"/>
        <w:ind w:left="120" w:right="0" w:firstLine="0"/>
        <w:jc w:val="left"/>
        <w:rPr>
          <w:sz w:val="16"/>
        </w:rPr>
      </w:pPr>
      <w:hyperlink w:history="true" w:anchor="_bookmark36">
        <w:r>
          <w:rPr>
            <w:sz w:val="16"/>
            <w:vertAlign w:val="superscript"/>
          </w:rPr>
          <w:t>13</w:t>
        </w:r>
      </w:hyperlink>
      <w:r>
        <w:rPr>
          <w:spacing w:val="-1"/>
          <w:sz w:val="16"/>
          <w:vertAlign w:val="baseline"/>
        </w:rPr>
        <w:t> </w:t>
      </w:r>
      <w:bookmarkStart w:name="_bookmark37" w:id="50"/>
      <w:bookmarkEnd w:id="50"/>
      <w:r>
        <w:rPr>
          <w:sz w:val="16"/>
          <w:vertAlign w:val="baseline"/>
        </w:rPr>
        <w:t>2</w:t>
      </w:r>
      <w:r>
        <w:rPr>
          <w:sz w:val="16"/>
          <w:vertAlign w:val="baseline"/>
        </w:rPr>
        <w:t>4</w:t>
      </w:r>
      <w:r>
        <w:rPr>
          <w:spacing w:val="-1"/>
          <w:sz w:val="16"/>
          <w:vertAlign w:val="baseline"/>
        </w:rPr>
        <w:t> </w:t>
      </w:r>
      <w:r>
        <w:rPr>
          <w:sz w:val="16"/>
          <w:vertAlign w:val="baseline"/>
        </w:rPr>
        <w:t>CFR</w:t>
      </w:r>
      <w:r>
        <w:rPr>
          <w:spacing w:val="-1"/>
          <w:sz w:val="16"/>
          <w:vertAlign w:val="baseline"/>
        </w:rPr>
        <w:t> </w:t>
      </w:r>
      <w:r>
        <w:rPr>
          <w:spacing w:val="-2"/>
          <w:sz w:val="16"/>
          <w:vertAlign w:val="baseline"/>
        </w:rPr>
        <w:t>960.507(f)</w:t>
      </w:r>
    </w:p>
    <w:p>
      <w:pPr>
        <w:spacing w:after="0"/>
        <w:jc w:val="left"/>
        <w:rPr>
          <w:sz w:val="16"/>
        </w:rPr>
        <w:sectPr>
          <w:pgSz w:w="12240" w:h="15840"/>
          <w:pgMar w:header="0" w:footer="1033" w:top="1360" w:bottom="1220" w:left="1320" w:right="240"/>
        </w:sectPr>
      </w:pPr>
    </w:p>
    <w:p>
      <w:pPr>
        <w:pStyle w:val="BodyText"/>
        <w:spacing w:line="259" w:lineRule="auto" w:before="79"/>
        <w:ind w:left="120" w:right="1204"/>
      </w:pPr>
      <w:r>
        <w:rPr/>
        <w:t>Portal.</w:t>
      </w:r>
      <w:r>
        <w:rPr>
          <w:spacing w:val="-3"/>
        </w:rPr>
        <w:t> </w:t>
      </w:r>
      <w:r>
        <w:rPr/>
        <w:t>HUD</w:t>
      </w:r>
      <w:r>
        <w:rPr>
          <w:spacing w:val="-3"/>
        </w:rPr>
        <w:t> </w:t>
      </w:r>
      <w:r>
        <w:rPr/>
        <w:t>will</w:t>
      </w:r>
      <w:r>
        <w:rPr>
          <w:spacing w:val="-2"/>
        </w:rPr>
        <w:t> </w:t>
      </w:r>
      <w:r>
        <w:rPr/>
        <w:t>combine</w:t>
      </w:r>
      <w:r>
        <w:rPr>
          <w:spacing w:val="-3"/>
        </w:rPr>
        <w:t> </w:t>
      </w:r>
      <w:r>
        <w:rPr/>
        <w:t>this</w:t>
      </w:r>
      <w:r>
        <w:rPr>
          <w:spacing w:val="-2"/>
        </w:rPr>
        <w:t> </w:t>
      </w:r>
      <w:r>
        <w:rPr/>
        <w:t>data</w:t>
      </w:r>
      <w:r>
        <w:rPr>
          <w:spacing w:val="-3"/>
        </w:rPr>
        <w:t> </w:t>
      </w:r>
      <w:r>
        <w:rPr/>
        <w:t>with</w:t>
      </w:r>
      <w:r>
        <w:rPr>
          <w:spacing w:val="-2"/>
        </w:rPr>
        <w:t> </w:t>
      </w:r>
      <w:r>
        <w:rPr/>
        <w:t>the</w:t>
      </w:r>
      <w:r>
        <w:rPr>
          <w:spacing w:val="-3"/>
        </w:rPr>
        <w:t> </w:t>
      </w:r>
      <w:r>
        <w:rPr/>
        <w:t>data</w:t>
      </w:r>
      <w:r>
        <w:rPr>
          <w:spacing w:val="-3"/>
        </w:rPr>
        <w:t> </w:t>
      </w:r>
      <w:r>
        <w:rPr/>
        <w:t>provided</w:t>
      </w:r>
      <w:r>
        <w:rPr>
          <w:spacing w:val="-2"/>
        </w:rPr>
        <w:t> </w:t>
      </w:r>
      <w:r>
        <w:rPr/>
        <w:t>in IMS/PIC</w:t>
      </w:r>
      <w:r>
        <w:rPr>
          <w:spacing w:val="-3"/>
        </w:rPr>
        <w:t> </w:t>
      </w:r>
      <w:r>
        <w:rPr/>
        <w:t>and/or</w:t>
      </w:r>
      <w:r>
        <w:rPr>
          <w:spacing w:val="-4"/>
        </w:rPr>
        <w:t> </w:t>
      </w:r>
      <w:r>
        <w:rPr/>
        <w:t>HIP</w:t>
      </w:r>
      <w:r>
        <w:rPr>
          <w:spacing w:val="-1"/>
        </w:rPr>
        <w:t> </w:t>
      </w:r>
      <w:r>
        <w:rPr/>
        <w:t>and</w:t>
      </w:r>
      <w:r>
        <w:rPr>
          <w:spacing w:val="-2"/>
        </w:rPr>
        <w:t> </w:t>
      </w:r>
      <w:r>
        <w:rPr/>
        <w:t>the</w:t>
      </w:r>
      <w:r>
        <w:rPr>
          <w:spacing w:val="-4"/>
        </w:rPr>
        <w:t> </w:t>
      </w:r>
      <w:r>
        <w:rPr/>
        <w:t>HUD- 50058 form and publish the </w:t>
      </w:r>
      <w:r>
        <w:rPr>
          <w:i/>
        </w:rPr>
        <w:t>Public Housing Over-Income Families and Waiting-Lists Report</w:t>
      </w:r>
      <w:r>
        <w:rPr>
          <w:i/>
        </w:rPr>
        <w:t> </w:t>
      </w:r>
      <w:r>
        <w:rPr/>
        <w:t>annually on the HUD website by April 30</w:t>
      </w:r>
      <w:r>
        <w:rPr>
          <w:vertAlign w:val="superscript"/>
        </w:rPr>
        <w:t>th</w:t>
      </w:r>
      <w:r>
        <w:rPr>
          <w:vertAlign w:val="baseline"/>
        </w:rPr>
        <w:t> of each calendar year. at: </w:t>
      </w:r>
      <w:hyperlink r:id="rId13">
        <w:r>
          <w:rPr>
            <w:color w:val="0562C1"/>
            <w:spacing w:val="-2"/>
            <w:u w:val="single" w:color="0562C1"/>
            <w:vertAlign w:val="baseline"/>
          </w:rPr>
          <w:t>https://www.hud.gov/public_indian_housing/programs/ph/mod/hotma_ph</w:t>
        </w:r>
      </w:hyperlink>
      <w:r>
        <w:rPr>
          <w:spacing w:val="-2"/>
          <w:vertAlign w:val="baseline"/>
        </w:rPr>
        <w:t>.</w:t>
      </w:r>
    </w:p>
    <w:p>
      <w:pPr>
        <w:pStyle w:val="BodyText"/>
        <w:rPr>
          <w:sz w:val="20"/>
        </w:rPr>
      </w:pPr>
    </w:p>
    <w:p>
      <w:pPr>
        <w:pStyle w:val="Heading2"/>
        <w:numPr>
          <w:ilvl w:val="0"/>
          <w:numId w:val="2"/>
        </w:numPr>
        <w:tabs>
          <w:tab w:pos="840" w:val="left" w:leader="none"/>
        </w:tabs>
        <w:spacing w:line="240" w:lineRule="auto" w:before="205" w:after="0"/>
        <w:ind w:left="840" w:right="0" w:hanging="360"/>
        <w:jc w:val="left"/>
      </w:pPr>
      <w:bookmarkStart w:name="8. Determination of the Alternative Rent" w:id="51"/>
      <w:bookmarkEnd w:id="51"/>
      <w:r>
        <w:rPr>
          <w:b w:val="0"/>
        </w:rPr>
      </w:r>
      <w:bookmarkStart w:name="_bookmark38" w:id="52"/>
      <w:bookmarkEnd w:id="52"/>
      <w:r>
        <w:rPr/>
        <w:t>D</w:t>
      </w:r>
      <w:r>
        <w:rPr/>
        <w:t>etermination</w:t>
      </w:r>
      <w:r>
        <w:rPr>
          <w:spacing w:val="-4"/>
        </w:rPr>
        <w:t> </w:t>
      </w:r>
      <w:r>
        <w:rPr/>
        <w:t>of</w:t>
      </w:r>
      <w:r>
        <w:rPr>
          <w:spacing w:val="-6"/>
        </w:rPr>
        <w:t> </w:t>
      </w:r>
      <w:r>
        <w:rPr/>
        <w:t>the</w:t>
      </w:r>
      <w:r>
        <w:rPr>
          <w:spacing w:val="-6"/>
        </w:rPr>
        <w:t> </w:t>
      </w:r>
      <w:r>
        <w:rPr/>
        <w:t>Alternative</w:t>
      </w:r>
      <w:r>
        <w:rPr>
          <w:spacing w:val="-6"/>
        </w:rPr>
        <w:t> </w:t>
      </w:r>
      <w:r>
        <w:rPr/>
        <w:t>Rent</w:t>
      </w:r>
      <w:r>
        <w:rPr>
          <w:spacing w:val="-6"/>
        </w:rPr>
        <w:t> </w:t>
      </w:r>
      <w:r>
        <w:rPr/>
        <w:t>and</w:t>
      </w:r>
      <w:r>
        <w:rPr>
          <w:spacing w:val="-5"/>
        </w:rPr>
        <w:t> </w:t>
      </w:r>
      <w:r>
        <w:rPr/>
        <w:t>the</w:t>
      </w:r>
      <w:r>
        <w:rPr>
          <w:spacing w:val="-6"/>
        </w:rPr>
        <w:t> </w:t>
      </w:r>
      <w:r>
        <w:rPr/>
        <w:t>new</w:t>
      </w:r>
      <w:r>
        <w:rPr>
          <w:spacing w:val="-6"/>
        </w:rPr>
        <w:t> </w:t>
      </w:r>
      <w:r>
        <w:rPr/>
        <w:t>lease</w:t>
      </w:r>
      <w:r>
        <w:rPr>
          <w:spacing w:val="-5"/>
        </w:rPr>
        <w:t> </w:t>
      </w:r>
      <w:r>
        <w:rPr/>
        <w:t>for</w:t>
      </w:r>
      <w:r>
        <w:rPr>
          <w:spacing w:val="-4"/>
        </w:rPr>
        <w:t> </w:t>
      </w:r>
      <w:r>
        <w:rPr/>
        <w:t>NPHOI</w:t>
      </w:r>
      <w:r>
        <w:rPr>
          <w:spacing w:val="-5"/>
        </w:rPr>
        <w:t> </w:t>
      </w:r>
      <w:r>
        <w:rPr>
          <w:spacing w:val="-2"/>
        </w:rPr>
        <w:t>families</w:t>
      </w:r>
    </w:p>
    <w:p>
      <w:pPr>
        <w:spacing w:before="0"/>
        <w:ind w:left="120" w:right="0" w:firstLine="0"/>
        <w:jc w:val="left"/>
        <w:rPr>
          <w:i/>
          <w:sz w:val="24"/>
        </w:rPr>
      </w:pPr>
      <w:r>
        <w:rPr>
          <w:i/>
          <w:sz w:val="24"/>
        </w:rPr>
        <w:t>Alternative</w:t>
      </w:r>
      <w:r>
        <w:rPr>
          <w:i/>
          <w:spacing w:val="-4"/>
          <w:sz w:val="24"/>
        </w:rPr>
        <w:t> </w:t>
      </w:r>
      <w:r>
        <w:rPr>
          <w:i/>
          <w:sz w:val="24"/>
        </w:rPr>
        <w:t>non-public</w:t>
      </w:r>
      <w:r>
        <w:rPr>
          <w:i/>
          <w:spacing w:val="-4"/>
          <w:sz w:val="24"/>
        </w:rPr>
        <w:t> </w:t>
      </w:r>
      <w:r>
        <w:rPr>
          <w:i/>
          <w:sz w:val="24"/>
        </w:rPr>
        <w:t>housing</w:t>
      </w:r>
      <w:r>
        <w:rPr>
          <w:i/>
          <w:spacing w:val="-2"/>
          <w:sz w:val="24"/>
        </w:rPr>
        <w:t> </w:t>
      </w:r>
      <w:r>
        <w:rPr>
          <w:i/>
          <w:sz w:val="24"/>
        </w:rPr>
        <w:t>rent</w:t>
      </w:r>
      <w:r>
        <w:rPr>
          <w:i/>
          <w:spacing w:val="-3"/>
          <w:sz w:val="24"/>
        </w:rPr>
        <w:t> </w:t>
      </w:r>
      <w:r>
        <w:rPr>
          <w:i/>
          <w:sz w:val="24"/>
        </w:rPr>
        <w:t>(alternative</w:t>
      </w:r>
      <w:r>
        <w:rPr>
          <w:i/>
          <w:spacing w:val="-3"/>
          <w:sz w:val="24"/>
        </w:rPr>
        <w:t> </w:t>
      </w:r>
      <w:r>
        <w:rPr>
          <w:i/>
          <w:spacing w:val="-2"/>
          <w:sz w:val="24"/>
        </w:rPr>
        <w:t>rent)</w:t>
      </w:r>
    </w:p>
    <w:p>
      <w:pPr>
        <w:pStyle w:val="BodyText"/>
        <w:spacing w:line="237" w:lineRule="auto" w:before="43"/>
        <w:ind w:left="120" w:right="1204"/>
      </w:pPr>
      <w:r>
        <w:rPr/>
        <w:t>This notice provides additional information and guidelines for PHAs on setting alternative rents for NPHOI families that the PHA has allowed to remain in public housing. As discussed in section 4 of this notice, the alternative rent is a new definition in 24 CFR 960.102, and it is the monthly</w:t>
      </w:r>
      <w:r>
        <w:rPr>
          <w:spacing w:val="-3"/>
        </w:rPr>
        <w:t> </w:t>
      </w:r>
      <w:r>
        <w:rPr/>
        <w:t>amount</w:t>
      </w:r>
      <w:r>
        <w:rPr>
          <w:spacing w:val="-3"/>
        </w:rPr>
        <w:t> </w:t>
      </w:r>
      <w:r>
        <w:rPr/>
        <w:t>PHAs</w:t>
      </w:r>
      <w:r>
        <w:rPr>
          <w:spacing w:val="-5"/>
        </w:rPr>
        <w:t> </w:t>
      </w:r>
      <w:r>
        <w:rPr/>
        <w:t>must</w:t>
      </w:r>
      <w:r>
        <w:rPr>
          <w:spacing w:val="-3"/>
        </w:rPr>
        <w:t> </w:t>
      </w:r>
      <w:r>
        <w:rPr/>
        <w:t>charge</w:t>
      </w:r>
      <w:r>
        <w:rPr>
          <w:spacing w:val="-4"/>
        </w:rPr>
        <w:t> </w:t>
      </w:r>
      <w:r>
        <w:rPr/>
        <w:t>NPHOI</w:t>
      </w:r>
      <w:r>
        <w:rPr>
          <w:spacing w:val="-5"/>
        </w:rPr>
        <w:t> </w:t>
      </w:r>
      <w:r>
        <w:rPr/>
        <w:t>families</w:t>
      </w:r>
      <w:r>
        <w:rPr>
          <w:spacing w:val="-3"/>
        </w:rPr>
        <w:t> </w:t>
      </w:r>
      <w:r>
        <w:rPr/>
        <w:t>after</w:t>
      </w:r>
      <w:r>
        <w:rPr>
          <w:spacing w:val="-4"/>
        </w:rPr>
        <w:t> </w:t>
      </w:r>
      <w:r>
        <w:rPr/>
        <w:t>they</w:t>
      </w:r>
      <w:r>
        <w:rPr>
          <w:spacing w:val="-3"/>
        </w:rPr>
        <w:t> </w:t>
      </w:r>
      <w:r>
        <w:rPr/>
        <w:t>have</w:t>
      </w:r>
      <w:r>
        <w:rPr>
          <w:spacing w:val="-4"/>
        </w:rPr>
        <w:t> </w:t>
      </w:r>
      <w:r>
        <w:rPr/>
        <w:t>exceeded</w:t>
      </w:r>
      <w:r>
        <w:rPr>
          <w:spacing w:val="-3"/>
        </w:rPr>
        <w:t> </w:t>
      </w:r>
      <w:r>
        <w:rPr/>
        <w:t>the</w:t>
      </w:r>
      <w:r>
        <w:rPr>
          <w:spacing w:val="-4"/>
        </w:rPr>
        <w:t> </w:t>
      </w:r>
      <w:r>
        <w:rPr/>
        <w:t>24</w:t>
      </w:r>
      <w:r>
        <w:rPr>
          <w:spacing w:val="-3"/>
        </w:rPr>
        <w:t> </w:t>
      </w:r>
      <w:r>
        <w:rPr/>
        <w:t>consecutive month grace period. The alternative rent is defined as the higher of Fair Market Rent (FMR) or per unit monthly subsidy.</w:t>
      </w:r>
    </w:p>
    <w:p>
      <w:pPr>
        <w:pStyle w:val="BodyText"/>
        <w:spacing w:before="8"/>
        <w:rPr>
          <w:sz w:val="31"/>
        </w:rPr>
      </w:pPr>
    </w:p>
    <w:p>
      <w:pPr>
        <w:pStyle w:val="BodyText"/>
        <w:spacing w:line="237" w:lineRule="auto"/>
        <w:ind w:left="120" w:right="1204"/>
      </w:pPr>
      <w:r>
        <w:rPr/>
        <w:t>The amount of the monthly subsidy provided for the unit, will be determined by adding the per unit assistance provided to a public housing property, as calculated through the applicable formulas for the Public Housing Capital Fund and Public Housing Operating Fund, for the most recent funding year. As these amounts will vary by allocation, HUD will publish the </w:t>
      </w:r>
      <w:r>
        <w:rPr>
          <w:i/>
        </w:rPr>
        <w:t>Per Unit</w:t>
      </w:r>
      <w:r>
        <w:rPr>
          <w:i/>
        </w:rPr>
        <w:t> Subsidy Report </w:t>
      </w:r>
      <w:r>
        <w:rPr/>
        <w:t>annually for all public housing developments by December 31</w:t>
      </w:r>
      <w:r>
        <w:rPr>
          <w:vertAlign w:val="superscript"/>
        </w:rPr>
        <w:t>st</w:t>
      </w:r>
      <w:r>
        <w:rPr>
          <w:vertAlign w:val="baseline"/>
        </w:rPr>
        <w:t> to help establish the</w:t>
      </w:r>
      <w:r>
        <w:rPr>
          <w:spacing w:val="-4"/>
          <w:vertAlign w:val="baseline"/>
        </w:rPr>
        <w:t> </w:t>
      </w:r>
      <w:r>
        <w:rPr>
          <w:vertAlign w:val="baseline"/>
        </w:rPr>
        <w:t>alternative</w:t>
      </w:r>
      <w:r>
        <w:rPr>
          <w:spacing w:val="-4"/>
          <w:vertAlign w:val="baseline"/>
        </w:rPr>
        <w:t> </w:t>
      </w:r>
      <w:r>
        <w:rPr>
          <w:vertAlign w:val="baseline"/>
        </w:rPr>
        <w:t>rents</w:t>
      </w:r>
      <w:r>
        <w:rPr>
          <w:spacing w:val="-3"/>
          <w:vertAlign w:val="baseline"/>
        </w:rPr>
        <w:t> </w:t>
      </w:r>
      <w:r>
        <w:rPr>
          <w:vertAlign w:val="baseline"/>
        </w:rPr>
        <w:t>for</w:t>
      </w:r>
      <w:r>
        <w:rPr>
          <w:spacing w:val="-4"/>
          <w:vertAlign w:val="baseline"/>
        </w:rPr>
        <w:t> </w:t>
      </w:r>
      <w:r>
        <w:rPr>
          <w:vertAlign w:val="baseline"/>
        </w:rPr>
        <w:t>the</w:t>
      </w:r>
      <w:r>
        <w:rPr>
          <w:spacing w:val="-5"/>
          <w:vertAlign w:val="baseline"/>
        </w:rPr>
        <w:t> </w:t>
      </w:r>
      <w:r>
        <w:rPr>
          <w:vertAlign w:val="baseline"/>
        </w:rPr>
        <w:t>following</w:t>
      </w:r>
      <w:r>
        <w:rPr>
          <w:spacing w:val="-3"/>
          <w:vertAlign w:val="baseline"/>
        </w:rPr>
        <w:t> </w:t>
      </w:r>
      <w:r>
        <w:rPr>
          <w:vertAlign w:val="baseline"/>
        </w:rPr>
        <w:t>calendar</w:t>
      </w:r>
      <w:r>
        <w:rPr>
          <w:spacing w:val="-4"/>
          <w:vertAlign w:val="baseline"/>
        </w:rPr>
        <w:t> </w:t>
      </w:r>
      <w:r>
        <w:rPr>
          <w:vertAlign w:val="baseline"/>
        </w:rPr>
        <w:t>year.</w:t>
      </w:r>
      <w:r>
        <w:rPr>
          <w:spacing w:val="-3"/>
          <w:vertAlign w:val="baseline"/>
        </w:rPr>
        <w:t> </w:t>
      </w:r>
      <w:r>
        <w:rPr>
          <w:vertAlign w:val="baseline"/>
        </w:rPr>
        <w:t>However,</w:t>
      </w:r>
      <w:r>
        <w:rPr>
          <w:spacing w:val="-1"/>
          <w:vertAlign w:val="baseline"/>
        </w:rPr>
        <w:t> </w:t>
      </w:r>
      <w:r>
        <w:rPr>
          <w:vertAlign w:val="baseline"/>
        </w:rPr>
        <w:t>for</w:t>
      </w:r>
      <w:r>
        <w:rPr>
          <w:spacing w:val="-4"/>
          <w:vertAlign w:val="baseline"/>
        </w:rPr>
        <w:t> </w:t>
      </w:r>
      <w:r>
        <w:rPr>
          <w:vertAlign w:val="baseline"/>
        </w:rPr>
        <w:t>the</w:t>
      </w:r>
      <w:r>
        <w:rPr>
          <w:spacing w:val="-5"/>
          <w:vertAlign w:val="baseline"/>
        </w:rPr>
        <w:t> </w:t>
      </w:r>
      <w:r>
        <w:rPr>
          <w:vertAlign w:val="baseline"/>
        </w:rPr>
        <w:t>2023</w:t>
      </w:r>
      <w:r>
        <w:rPr>
          <w:spacing w:val="-3"/>
          <w:vertAlign w:val="baseline"/>
        </w:rPr>
        <w:t> </w:t>
      </w:r>
      <w:r>
        <w:rPr>
          <w:vertAlign w:val="baseline"/>
        </w:rPr>
        <w:t>calendar</w:t>
      </w:r>
      <w:r>
        <w:rPr>
          <w:spacing w:val="-4"/>
          <w:vertAlign w:val="baseline"/>
        </w:rPr>
        <w:t> </w:t>
      </w:r>
      <w:r>
        <w:rPr>
          <w:vertAlign w:val="baseline"/>
        </w:rPr>
        <w:t>year,</w:t>
      </w:r>
      <w:r>
        <w:rPr>
          <w:spacing w:val="-3"/>
          <w:vertAlign w:val="baseline"/>
        </w:rPr>
        <w:t> </w:t>
      </w:r>
      <w:r>
        <w:rPr>
          <w:vertAlign w:val="baseline"/>
        </w:rPr>
        <w:t>the</w:t>
      </w:r>
      <w:r>
        <w:rPr>
          <w:spacing w:val="-4"/>
          <w:vertAlign w:val="baseline"/>
        </w:rPr>
        <w:t> </w:t>
      </w:r>
      <w:r>
        <w:rPr>
          <w:vertAlign w:val="baseline"/>
        </w:rPr>
        <w:t>Per Unit Subsidy Report will be published in 2023 soon after the publication of the final rule. This report will be found on hud.gov at: </w:t>
      </w:r>
      <w:hyperlink r:id="rId13">
        <w:r>
          <w:rPr>
            <w:color w:val="0562C1"/>
            <w:spacing w:val="-2"/>
            <w:u w:val="single" w:color="0562C1"/>
            <w:vertAlign w:val="baseline"/>
          </w:rPr>
          <w:t>https://www.hud.gov/public_indian_housing/programs/ph/mod/hotma_ph</w:t>
        </w:r>
      </w:hyperlink>
      <w:r>
        <w:rPr>
          <w:spacing w:val="-2"/>
          <w:vertAlign w:val="baseline"/>
        </w:rPr>
        <w:t>.</w:t>
      </w:r>
    </w:p>
    <w:p>
      <w:pPr>
        <w:pStyle w:val="BodyText"/>
        <w:spacing w:before="9"/>
        <w:rPr>
          <w:sz w:val="23"/>
        </w:rPr>
      </w:pPr>
    </w:p>
    <w:p>
      <w:pPr>
        <w:pStyle w:val="BodyText"/>
        <w:spacing w:line="237" w:lineRule="auto" w:before="93"/>
        <w:ind w:left="120" w:right="1204"/>
      </w:pPr>
      <w:r>
        <w:rPr/>
        <w:t>Note that the published amount for a development is not automatically the alternative rent. Instead,</w:t>
      </w:r>
      <w:r>
        <w:rPr>
          <w:spacing w:val="-3"/>
        </w:rPr>
        <w:t> </w:t>
      </w:r>
      <w:r>
        <w:rPr/>
        <w:t>the</w:t>
      </w:r>
      <w:r>
        <w:rPr>
          <w:spacing w:val="-5"/>
        </w:rPr>
        <w:t> </w:t>
      </w:r>
      <w:r>
        <w:rPr/>
        <w:t>PHA</w:t>
      </w:r>
      <w:r>
        <w:rPr>
          <w:spacing w:val="-4"/>
        </w:rPr>
        <w:t> </w:t>
      </w:r>
      <w:r>
        <w:rPr/>
        <w:t>must</w:t>
      </w:r>
      <w:r>
        <w:rPr>
          <w:spacing w:val="-2"/>
        </w:rPr>
        <w:t> </w:t>
      </w:r>
      <w:r>
        <w:rPr/>
        <w:t>determine</w:t>
      </w:r>
      <w:r>
        <w:rPr>
          <w:spacing w:val="-4"/>
        </w:rPr>
        <w:t> </w:t>
      </w:r>
      <w:r>
        <w:rPr/>
        <w:t>what amount</w:t>
      </w:r>
      <w:r>
        <w:rPr>
          <w:spacing w:val="-3"/>
        </w:rPr>
        <w:t> </w:t>
      </w:r>
      <w:r>
        <w:rPr/>
        <w:t>to</w:t>
      </w:r>
      <w:r>
        <w:rPr>
          <w:spacing w:val="-3"/>
        </w:rPr>
        <w:t> </w:t>
      </w:r>
      <w:r>
        <w:rPr/>
        <w:t>charge</w:t>
      </w:r>
      <w:r>
        <w:rPr>
          <w:spacing w:val="-2"/>
        </w:rPr>
        <w:t> </w:t>
      </w:r>
      <w:r>
        <w:rPr/>
        <w:t>as</w:t>
      </w:r>
      <w:r>
        <w:rPr>
          <w:spacing w:val="-3"/>
        </w:rPr>
        <w:t> </w:t>
      </w:r>
      <w:r>
        <w:rPr/>
        <w:t>the</w:t>
      </w:r>
      <w:r>
        <w:rPr>
          <w:spacing w:val="-5"/>
        </w:rPr>
        <w:t> </w:t>
      </w:r>
      <w:r>
        <w:rPr/>
        <w:t>alternative</w:t>
      </w:r>
      <w:r>
        <w:rPr>
          <w:spacing w:val="-2"/>
        </w:rPr>
        <w:t> </w:t>
      </w:r>
      <w:r>
        <w:rPr/>
        <w:t>rent</w:t>
      </w:r>
      <w:r>
        <w:rPr>
          <w:spacing w:val="-3"/>
        </w:rPr>
        <w:t> </w:t>
      </w:r>
      <w:r>
        <w:rPr/>
        <w:t>by</w:t>
      </w:r>
      <w:r>
        <w:rPr>
          <w:spacing w:val="-3"/>
        </w:rPr>
        <w:t> </w:t>
      </w:r>
      <w:r>
        <w:rPr/>
        <w:t>comparing</w:t>
      </w:r>
      <w:r>
        <w:rPr>
          <w:spacing w:val="-3"/>
        </w:rPr>
        <w:t> </w:t>
      </w:r>
      <w:r>
        <w:rPr/>
        <w:t>the per </w:t>
      </w:r>
      <w:bookmarkStart w:name="_bookmark39" w:id="53"/>
      <w:bookmarkEnd w:id="53"/>
      <w:r>
        <w:rPr/>
        <w:t>unit</w:t>
      </w:r>
      <w:r>
        <w:rPr/>
        <w:t> subsidy amount for the development where an NPHOI family resides to the applicable FMR</w:t>
      </w:r>
      <w:hyperlink w:history="true" w:anchor="_bookmark40">
        <w:r>
          <w:rPr>
            <w:vertAlign w:val="superscript"/>
          </w:rPr>
          <w:t>14</w:t>
        </w:r>
      </w:hyperlink>
      <w:r>
        <w:rPr>
          <w:vertAlign w:val="baseline"/>
        </w:rPr>
        <w:t> for a unit of the same bedroom size in the area. Whichever amount is higher will be the alternative rent applied to the family’s new NPHOI lease.</w:t>
      </w:r>
    </w:p>
    <w:p>
      <w:pPr>
        <w:pStyle w:val="BodyText"/>
        <w:spacing w:before="2"/>
      </w:pPr>
    </w:p>
    <w:p>
      <w:pPr>
        <w:pStyle w:val="BodyText"/>
        <w:ind w:left="120" w:right="1204"/>
      </w:pPr>
      <w:r>
        <w:rPr/>
        <w:t>PHAs must update the information in IMS/PIC, and/or HIP (IMS/PIC’s successor system) in a timely manner, to ensure that no unit that houses an NPHOI family receives public housing subsidy.</w:t>
      </w:r>
      <w:r>
        <w:rPr>
          <w:spacing w:val="-3"/>
        </w:rPr>
        <w:t> </w:t>
      </w:r>
      <w:r>
        <w:rPr/>
        <w:t>Further,</w:t>
      </w:r>
      <w:r>
        <w:rPr>
          <w:spacing w:val="-3"/>
        </w:rPr>
        <w:t> </w:t>
      </w:r>
      <w:r>
        <w:rPr/>
        <w:t>PHAs</w:t>
      </w:r>
      <w:r>
        <w:rPr>
          <w:spacing w:val="-3"/>
        </w:rPr>
        <w:t> </w:t>
      </w:r>
      <w:r>
        <w:rPr/>
        <w:t>should</w:t>
      </w:r>
      <w:r>
        <w:rPr>
          <w:spacing w:val="-3"/>
        </w:rPr>
        <w:t> </w:t>
      </w:r>
      <w:r>
        <w:rPr/>
        <w:t>be</w:t>
      </w:r>
      <w:r>
        <w:rPr>
          <w:spacing w:val="-4"/>
        </w:rPr>
        <w:t> </w:t>
      </w:r>
      <w:r>
        <w:rPr/>
        <w:t>aware</w:t>
      </w:r>
      <w:r>
        <w:rPr>
          <w:spacing w:val="-5"/>
        </w:rPr>
        <w:t> </w:t>
      </w:r>
      <w:r>
        <w:rPr/>
        <w:t>that</w:t>
      </w:r>
      <w:r>
        <w:rPr>
          <w:spacing w:val="-3"/>
        </w:rPr>
        <w:t> </w:t>
      </w:r>
      <w:r>
        <w:rPr/>
        <w:t>since</w:t>
      </w:r>
      <w:r>
        <w:rPr>
          <w:spacing w:val="-2"/>
        </w:rPr>
        <w:t> </w:t>
      </w:r>
      <w:r>
        <w:rPr/>
        <w:t>no</w:t>
      </w:r>
      <w:r>
        <w:rPr>
          <w:spacing w:val="-3"/>
        </w:rPr>
        <w:t> </w:t>
      </w:r>
      <w:r>
        <w:rPr/>
        <w:t>public</w:t>
      </w:r>
      <w:r>
        <w:rPr>
          <w:spacing w:val="-4"/>
        </w:rPr>
        <w:t> </w:t>
      </w:r>
      <w:r>
        <w:rPr/>
        <w:t>housing</w:t>
      </w:r>
      <w:r>
        <w:rPr>
          <w:spacing w:val="-3"/>
        </w:rPr>
        <w:t> </w:t>
      </w:r>
      <w:r>
        <w:rPr/>
        <w:t>subsidy</w:t>
      </w:r>
      <w:r>
        <w:rPr>
          <w:spacing w:val="-3"/>
        </w:rPr>
        <w:t> </w:t>
      </w:r>
      <w:r>
        <w:rPr/>
        <w:t>may</w:t>
      </w:r>
      <w:r>
        <w:rPr>
          <w:spacing w:val="-3"/>
        </w:rPr>
        <w:t> </w:t>
      </w:r>
      <w:r>
        <w:rPr/>
        <w:t>support</w:t>
      </w:r>
      <w:r>
        <w:rPr>
          <w:spacing w:val="-3"/>
        </w:rPr>
        <w:t> </w:t>
      </w:r>
      <w:r>
        <w:rPr/>
        <w:t>units occupied by NPHOI families, any delay may result in the PHA owing HUD any improperly calculated subsidy amounts. For more information on properly reporting NPHOI families in IMS/PIC, please see Notice PIH-2021-35 or its successor notice.</w:t>
      </w:r>
    </w:p>
    <w:p>
      <w:pPr>
        <w:pStyle w:val="BodyText"/>
      </w:pPr>
    </w:p>
    <w:p>
      <w:pPr>
        <w:spacing w:before="0"/>
        <w:ind w:left="120" w:right="0" w:firstLine="0"/>
        <w:jc w:val="left"/>
        <w:rPr>
          <w:i/>
          <w:sz w:val="24"/>
        </w:rPr>
      </w:pPr>
      <w:r>
        <w:rPr>
          <w:i/>
          <w:sz w:val="24"/>
        </w:rPr>
        <w:t>NPHOI</w:t>
      </w:r>
      <w:r>
        <w:rPr>
          <w:i/>
          <w:spacing w:val="-10"/>
          <w:sz w:val="24"/>
        </w:rPr>
        <w:t> </w:t>
      </w:r>
      <w:r>
        <w:rPr>
          <w:i/>
          <w:spacing w:val="-2"/>
          <w:sz w:val="24"/>
        </w:rPr>
        <w:t>Lease</w:t>
      </w:r>
    </w:p>
    <w:p>
      <w:pPr>
        <w:pStyle w:val="BodyText"/>
        <w:ind w:left="120" w:right="1204"/>
      </w:pPr>
      <w:r>
        <w:rPr/>
        <w:t>In</w:t>
      </w:r>
      <w:r>
        <w:rPr>
          <w:spacing w:val="-2"/>
        </w:rPr>
        <w:t> </w:t>
      </w:r>
      <w:r>
        <w:rPr/>
        <w:t>response</w:t>
      </w:r>
      <w:r>
        <w:rPr>
          <w:spacing w:val="-4"/>
        </w:rPr>
        <w:t> </w:t>
      </w:r>
      <w:r>
        <w:rPr/>
        <w:t>to</w:t>
      </w:r>
      <w:r>
        <w:rPr>
          <w:spacing w:val="-3"/>
        </w:rPr>
        <w:t> </w:t>
      </w:r>
      <w:r>
        <w:rPr/>
        <w:t>the</w:t>
      </w:r>
      <w:r>
        <w:rPr>
          <w:spacing w:val="-4"/>
        </w:rPr>
        <w:t> </w:t>
      </w:r>
      <w:r>
        <w:rPr/>
        <w:t>public</w:t>
      </w:r>
      <w:r>
        <w:rPr>
          <w:spacing w:val="-2"/>
        </w:rPr>
        <w:t> </w:t>
      </w:r>
      <w:r>
        <w:rPr/>
        <w:t>comments</w:t>
      </w:r>
      <w:r>
        <w:rPr>
          <w:spacing w:val="-3"/>
        </w:rPr>
        <w:t> </w:t>
      </w:r>
      <w:r>
        <w:rPr/>
        <w:t>solicited</w:t>
      </w:r>
      <w:r>
        <w:rPr>
          <w:spacing w:val="-3"/>
        </w:rPr>
        <w:t> </w:t>
      </w:r>
      <w:r>
        <w:rPr/>
        <w:t>by</w:t>
      </w:r>
      <w:r>
        <w:rPr>
          <w:spacing w:val="-3"/>
        </w:rPr>
        <w:t> </w:t>
      </w:r>
      <w:r>
        <w:rPr/>
        <w:t>the</w:t>
      </w:r>
      <w:r>
        <w:rPr>
          <w:spacing w:val="-4"/>
        </w:rPr>
        <w:t> </w:t>
      </w:r>
      <w:r>
        <w:rPr/>
        <w:t>2020</w:t>
      </w:r>
      <w:r>
        <w:rPr>
          <w:spacing w:val="-3"/>
        </w:rPr>
        <w:t> </w:t>
      </w:r>
      <w:r>
        <w:rPr/>
        <w:t>FR</w:t>
      </w:r>
      <w:r>
        <w:rPr>
          <w:spacing w:val="-3"/>
        </w:rPr>
        <w:t> </w:t>
      </w:r>
      <w:r>
        <w:rPr/>
        <w:t>Notice,</w:t>
      </w:r>
      <w:r>
        <w:rPr>
          <w:spacing w:val="-3"/>
        </w:rPr>
        <w:t> </w:t>
      </w:r>
      <w:r>
        <w:rPr/>
        <w:t>new</w:t>
      </w:r>
      <w:r>
        <w:rPr>
          <w:spacing w:val="-4"/>
        </w:rPr>
        <w:t> </w:t>
      </w:r>
      <w:r>
        <w:rPr/>
        <w:t>regulations</w:t>
      </w:r>
      <w:r>
        <w:rPr>
          <w:spacing w:val="-3"/>
        </w:rPr>
        <w:t> </w:t>
      </w:r>
      <w:r>
        <w:rPr/>
        <w:t>have</w:t>
      </w:r>
      <w:r>
        <w:rPr>
          <w:spacing w:val="-4"/>
        </w:rPr>
        <w:t> </w:t>
      </w:r>
      <w:r>
        <w:rPr/>
        <w:t>been added at 24 CFR 960.509 regarding the minimum lease requirements for NPHOI families. A PHA may add additional terms to the lease for NPHOI families, so long as it is consistent with HUD regulations, State, and local laws.</w:t>
      </w:r>
    </w:p>
    <w:p>
      <w:pPr>
        <w:pStyle w:val="BodyText"/>
        <w:rPr>
          <w:sz w:val="20"/>
        </w:rPr>
      </w:pPr>
    </w:p>
    <w:p>
      <w:pPr>
        <w:pStyle w:val="BodyText"/>
        <w:rPr>
          <w:sz w:val="20"/>
        </w:rPr>
      </w:pPr>
    </w:p>
    <w:p>
      <w:pPr>
        <w:pStyle w:val="BodyText"/>
        <w:spacing w:before="8"/>
        <w:rPr>
          <w:sz w:val="14"/>
        </w:rPr>
      </w:pPr>
      <w:r>
        <w:rPr/>
        <w:pict>
          <v:rect style="position:absolute;margin-left:72pt;margin-top:9.695410pt;width:144pt;height:.71pt;mso-position-horizontal-relative:page;mso-position-vertical-relative:paragraph;z-index:-15723520;mso-wrap-distance-left:0;mso-wrap-distance-right:0" id="docshape14" filled="true" fillcolor="#000000" stroked="false">
            <v:fill type="solid"/>
            <w10:wrap type="topAndBottom"/>
          </v:rect>
        </w:pict>
      </w:r>
    </w:p>
    <w:p>
      <w:pPr>
        <w:spacing w:before="103"/>
        <w:ind w:left="120" w:right="0" w:firstLine="0"/>
        <w:jc w:val="left"/>
        <w:rPr>
          <w:sz w:val="16"/>
        </w:rPr>
      </w:pPr>
      <w:hyperlink w:history="true" w:anchor="_bookmark39">
        <w:r>
          <w:rPr>
            <w:sz w:val="16"/>
            <w:vertAlign w:val="superscript"/>
          </w:rPr>
          <w:t>14</w:t>
        </w:r>
      </w:hyperlink>
      <w:r>
        <w:rPr>
          <w:spacing w:val="1"/>
          <w:sz w:val="16"/>
          <w:vertAlign w:val="baseline"/>
        </w:rPr>
        <w:t> </w:t>
      </w:r>
      <w:bookmarkStart w:name="_bookmark40" w:id="54"/>
      <w:bookmarkEnd w:id="54"/>
      <w:r>
        <w:rPr>
          <w:sz w:val="16"/>
          <w:vertAlign w:val="baseline"/>
        </w:rPr>
      </w:r>
      <w:hyperlink r:id="rId14">
        <w:r>
          <w:rPr>
            <w:color w:val="0562C1"/>
            <w:spacing w:val="-2"/>
            <w:sz w:val="16"/>
            <w:u w:val="single" w:color="0562C1"/>
            <w:vertAlign w:val="baseline"/>
          </w:rPr>
          <w:t>https://www.huduser.gov/portal/datasets/fmr.html</w:t>
        </w:r>
      </w:hyperlink>
    </w:p>
    <w:p>
      <w:pPr>
        <w:spacing w:after="0"/>
        <w:jc w:val="left"/>
        <w:rPr>
          <w:sz w:val="16"/>
        </w:rPr>
        <w:sectPr>
          <w:footerReference w:type="default" r:id="rId12"/>
          <w:pgSz w:w="12240" w:h="15840"/>
          <w:pgMar w:footer="1033" w:header="0" w:top="1360" w:bottom="1220" w:left="1320" w:right="240"/>
        </w:sectPr>
      </w:pPr>
    </w:p>
    <w:p>
      <w:pPr>
        <w:pStyle w:val="BodyText"/>
        <w:spacing w:line="259" w:lineRule="auto" w:before="79"/>
        <w:ind w:left="120" w:right="1220"/>
      </w:pPr>
      <w:r>
        <w:rPr/>
        <w:t>PHAs are</w:t>
      </w:r>
      <w:r>
        <w:rPr>
          <w:spacing w:val="-1"/>
        </w:rPr>
        <w:t> </w:t>
      </w:r>
      <w:r>
        <w:rPr/>
        <w:t>required to make</w:t>
      </w:r>
      <w:r>
        <w:rPr>
          <w:spacing w:val="-1"/>
        </w:rPr>
        <w:t> </w:t>
      </w:r>
      <w:r>
        <w:rPr/>
        <w:t>their leases flexible enough to easily adjust rent as the</w:t>
      </w:r>
      <w:r>
        <w:rPr>
          <w:spacing w:val="-1"/>
        </w:rPr>
        <w:t> </w:t>
      </w:r>
      <w:r>
        <w:rPr/>
        <w:t>FMR changes and as HUD publishes the per unit subsidy calculations. For PHAs with an over-income termination policy, in the period before termination, the OI family will remain on the public housing</w:t>
      </w:r>
      <w:r>
        <w:rPr>
          <w:spacing w:val="-3"/>
        </w:rPr>
        <w:t> </w:t>
      </w:r>
      <w:r>
        <w:rPr/>
        <w:t>lease.</w:t>
      </w:r>
      <w:r>
        <w:rPr>
          <w:spacing w:val="-2"/>
        </w:rPr>
        <w:t> </w:t>
      </w:r>
      <w:r>
        <w:rPr/>
        <w:t>Should</w:t>
      </w:r>
      <w:r>
        <w:rPr>
          <w:spacing w:val="-2"/>
        </w:rPr>
        <w:t> </w:t>
      </w:r>
      <w:r>
        <w:rPr/>
        <w:t>an</w:t>
      </w:r>
      <w:r>
        <w:rPr>
          <w:spacing w:val="-2"/>
        </w:rPr>
        <w:t> </w:t>
      </w:r>
      <w:r>
        <w:rPr/>
        <w:t>OI</w:t>
      </w:r>
      <w:r>
        <w:rPr>
          <w:spacing w:val="-7"/>
        </w:rPr>
        <w:t> </w:t>
      </w:r>
      <w:r>
        <w:rPr/>
        <w:t>family</w:t>
      </w:r>
      <w:r>
        <w:rPr>
          <w:spacing w:val="-3"/>
        </w:rPr>
        <w:t> </w:t>
      </w:r>
      <w:r>
        <w:rPr/>
        <w:t>decline</w:t>
      </w:r>
      <w:r>
        <w:rPr>
          <w:spacing w:val="-4"/>
        </w:rPr>
        <w:t> </w:t>
      </w:r>
      <w:r>
        <w:rPr/>
        <w:t>to</w:t>
      </w:r>
      <w:r>
        <w:rPr>
          <w:spacing w:val="-1"/>
        </w:rPr>
        <w:t> </w:t>
      </w:r>
      <w:r>
        <w:rPr/>
        <w:t>execute</w:t>
      </w:r>
      <w:r>
        <w:rPr>
          <w:spacing w:val="-4"/>
        </w:rPr>
        <w:t> </w:t>
      </w:r>
      <w:r>
        <w:rPr/>
        <w:t>the</w:t>
      </w:r>
      <w:r>
        <w:rPr>
          <w:spacing w:val="-4"/>
        </w:rPr>
        <w:t> </w:t>
      </w:r>
      <w:r>
        <w:rPr/>
        <w:t>new</w:t>
      </w:r>
      <w:r>
        <w:rPr>
          <w:spacing w:val="-3"/>
        </w:rPr>
        <w:t> </w:t>
      </w:r>
      <w:r>
        <w:rPr/>
        <w:t>NPHOI</w:t>
      </w:r>
      <w:r>
        <w:rPr>
          <w:spacing w:val="-4"/>
        </w:rPr>
        <w:t> </w:t>
      </w:r>
      <w:r>
        <w:rPr/>
        <w:t>lease,</w:t>
      </w:r>
      <w:r>
        <w:rPr>
          <w:spacing w:val="-2"/>
        </w:rPr>
        <w:t> </w:t>
      </w:r>
      <w:r>
        <w:rPr/>
        <w:t>the</w:t>
      </w:r>
      <w:r>
        <w:rPr>
          <w:spacing w:val="-3"/>
        </w:rPr>
        <w:t> </w:t>
      </w:r>
      <w:r>
        <w:rPr/>
        <w:t>regulation</w:t>
      </w:r>
      <w:r>
        <w:rPr>
          <w:spacing w:val="-2"/>
        </w:rPr>
        <w:t> </w:t>
      </w:r>
      <w:r>
        <w:rPr/>
        <w:t>at</w:t>
      </w:r>
      <w:r>
        <w:rPr>
          <w:spacing w:val="-2"/>
        </w:rPr>
        <w:t> </w:t>
      </w:r>
      <w:r>
        <w:rPr/>
        <w:t>24 CFR 966.4(a)(2)(iii) has been revised so that the public housing lease will become month-to- month for OI families in the period before termination and the PHA must continue to charge these families their current rent (i.e., the family’s choice of income-based, flat rent, or prorated rent for mixed families).</w:t>
      </w:r>
    </w:p>
    <w:p>
      <w:pPr>
        <w:pStyle w:val="BodyText"/>
        <w:spacing w:line="259" w:lineRule="auto" w:before="157"/>
        <w:ind w:left="120" w:right="1204"/>
      </w:pPr>
      <w:r>
        <w:rPr/>
        <w:t>In</w:t>
      </w:r>
      <w:r>
        <w:rPr>
          <w:spacing w:val="-1"/>
        </w:rPr>
        <w:t> </w:t>
      </w:r>
      <w:r>
        <w:rPr/>
        <w:t>accordance</w:t>
      </w:r>
      <w:r>
        <w:rPr>
          <w:spacing w:val="-4"/>
        </w:rPr>
        <w:t> </w:t>
      </w:r>
      <w:r>
        <w:rPr/>
        <w:t>with</w:t>
      </w:r>
      <w:r>
        <w:rPr>
          <w:spacing w:val="-3"/>
        </w:rPr>
        <w:t> </w:t>
      </w:r>
      <w:r>
        <w:rPr/>
        <w:t>24</w:t>
      </w:r>
      <w:r>
        <w:rPr>
          <w:spacing w:val="-3"/>
        </w:rPr>
        <w:t> </w:t>
      </w:r>
      <w:r>
        <w:rPr/>
        <w:t>CFR</w:t>
      </w:r>
      <w:r>
        <w:rPr>
          <w:spacing w:val="-3"/>
        </w:rPr>
        <w:t> </w:t>
      </w:r>
      <w:r>
        <w:rPr/>
        <w:t>960.507,</w:t>
      </w:r>
      <w:r>
        <w:rPr>
          <w:spacing w:val="-3"/>
        </w:rPr>
        <w:t> </w:t>
      </w:r>
      <w:r>
        <w:rPr/>
        <w:t>and</w:t>
      </w:r>
      <w:r>
        <w:rPr>
          <w:spacing w:val="-3"/>
        </w:rPr>
        <w:t> </w:t>
      </w:r>
      <w:r>
        <w:rPr/>
        <w:t>as</w:t>
      </w:r>
      <w:r>
        <w:rPr>
          <w:spacing w:val="-3"/>
        </w:rPr>
        <w:t> </w:t>
      </w:r>
      <w:r>
        <w:rPr/>
        <w:t>stated</w:t>
      </w:r>
      <w:r>
        <w:rPr>
          <w:spacing w:val="-3"/>
        </w:rPr>
        <w:t> </w:t>
      </w:r>
      <w:r>
        <w:rPr/>
        <w:t>in</w:t>
      </w:r>
      <w:r>
        <w:rPr>
          <w:spacing w:val="-3"/>
        </w:rPr>
        <w:t> </w:t>
      </w:r>
      <w:r>
        <w:rPr/>
        <w:t>section</w:t>
      </w:r>
      <w:r>
        <w:rPr>
          <w:spacing w:val="-3"/>
        </w:rPr>
        <w:t> </w:t>
      </w:r>
      <w:r>
        <w:rPr/>
        <w:t>7</w:t>
      </w:r>
      <w:r>
        <w:rPr>
          <w:spacing w:val="-3"/>
        </w:rPr>
        <w:t> </w:t>
      </w:r>
      <w:r>
        <w:rPr/>
        <w:t>of</w:t>
      </w:r>
      <w:r>
        <w:rPr>
          <w:spacing w:val="-4"/>
        </w:rPr>
        <w:t> </w:t>
      </w:r>
      <w:r>
        <w:rPr/>
        <w:t>this</w:t>
      </w:r>
      <w:r>
        <w:rPr>
          <w:spacing w:val="-3"/>
        </w:rPr>
        <w:t> </w:t>
      </w:r>
      <w:r>
        <w:rPr/>
        <w:t>notice,</w:t>
      </w:r>
      <w:r>
        <w:rPr>
          <w:spacing w:val="-3"/>
        </w:rPr>
        <w:t> </w:t>
      </w:r>
      <w:r>
        <w:rPr/>
        <w:t>the</w:t>
      </w:r>
      <w:r>
        <w:rPr>
          <w:spacing w:val="-4"/>
        </w:rPr>
        <w:t> </w:t>
      </w:r>
      <w:r>
        <w:rPr/>
        <w:t>NPHOI</w:t>
      </w:r>
      <w:r>
        <w:rPr>
          <w:spacing w:val="-4"/>
        </w:rPr>
        <w:t> </w:t>
      </w:r>
      <w:r>
        <w:rPr/>
        <w:t>family must execute a new lease and begin to pay the alternative rent. This lease must include the minimal provisions proved in 24 CFR 960.509. Examples of these provisions include:</w:t>
      </w:r>
    </w:p>
    <w:p>
      <w:pPr>
        <w:pStyle w:val="BodyText"/>
        <w:spacing w:line="259" w:lineRule="auto" w:before="160"/>
        <w:ind w:left="120" w:right="1296"/>
        <w:jc w:val="both"/>
      </w:pPr>
      <w:r>
        <w:rPr>
          <w:i/>
        </w:rPr>
        <w:t>Lease</w:t>
      </w:r>
      <w:r>
        <w:rPr>
          <w:i/>
          <w:spacing w:val="-3"/>
        </w:rPr>
        <w:t> </w:t>
      </w:r>
      <w:r>
        <w:rPr>
          <w:i/>
        </w:rPr>
        <w:t>term</w:t>
      </w:r>
      <w:r>
        <w:rPr>
          <w:i/>
          <w:spacing w:val="-3"/>
        </w:rPr>
        <w:t> </w:t>
      </w:r>
      <w:r>
        <w:rPr>
          <w:i/>
        </w:rPr>
        <w:t>and</w:t>
      </w:r>
      <w:r>
        <w:rPr>
          <w:i/>
          <w:spacing w:val="-3"/>
        </w:rPr>
        <w:t> </w:t>
      </w:r>
      <w:r>
        <w:rPr>
          <w:i/>
        </w:rPr>
        <w:t>renewal</w:t>
      </w:r>
      <w:r>
        <w:rPr>
          <w:i/>
          <w:spacing w:val="-1"/>
        </w:rPr>
        <w:t> </w:t>
      </w:r>
      <w:r>
        <w:rPr/>
        <w:t>-</w:t>
      </w:r>
      <w:r>
        <w:rPr>
          <w:spacing w:val="-1"/>
        </w:rPr>
        <w:t> </w:t>
      </w:r>
      <w:r>
        <w:rPr/>
        <w:t>The</w:t>
      </w:r>
      <w:r>
        <w:rPr>
          <w:spacing w:val="-4"/>
        </w:rPr>
        <w:t> </w:t>
      </w:r>
      <w:r>
        <w:rPr/>
        <w:t>lease</w:t>
      </w:r>
      <w:r>
        <w:rPr>
          <w:spacing w:val="-3"/>
        </w:rPr>
        <w:t> </w:t>
      </w:r>
      <w:r>
        <w:rPr/>
        <w:t>must</w:t>
      </w:r>
      <w:r>
        <w:rPr>
          <w:spacing w:val="-2"/>
        </w:rPr>
        <w:t> </w:t>
      </w:r>
      <w:r>
        <w:rPr/>
        <w:t>have</w:t>
      </w:r>
      <w:r>
        <w:rPr>
          <w:spacing w:val="-4"/>
        </w:rPr>
        <w:t> </w:t>
      </w:r>
      <w:r>
        <w:rPr/>
        <w:t>a</w:t>
      </w:r>
      <w:r>
        <w:rPr>
          <w:spacing w:val="-3"/>
        </w:rPr>
        <w:t> </w:t>
      </w:r>
      <w:r>
        <w:rPr/>
        <w:t>term</w:t>
      </w:r>
      <w:r>
        <w:rPr>
          <w:spacing w:val="-2"/>
        </w:rPr>
        <w:t> </w:t>
      </w:r>
      <w:r>
        <w:rPr/>
        <w:t>as</w:t>
      </w:r>
      <w:r>
        <w:rPr>
          <w:spacing w:val="-2"/>
        </w:rPr>
        <w:t> </w:t>
      </w:r>
      <w:r>
        <w:rPr/>
        <w:t>determined</w:t>
      </w:r>
      <w:r>
        <w:rPr>
          <w:spacing w:val="-2"/>
        </w:rPr>
        <w:t> </w:t>
      </w:r>
      <w:r>
        <w:rPr/>
        <w:t>by</w:t>
      </w:r>
      <w:r>
        <w:rPr>
          <w:spacing w:val="-2"/>
        </w:rPr>
        <w:t> </w:t>
      </w:r>
      <w:r>
        <w:rPr/>
        <w:t>the</w:t>
      </w:r>
      <w:r>
        <w:rPr>
          <w:spacing w:val="-1"/>
        </w:rPr>
        <w:t> </w:t>
      </w:r>
      <w:r>
        <w:rPr/>
        <w:t>PHA</w:t>
      </w:r>
      <w:r>
        <w:rPr>
          <w:spacing w:val="-3"/>
        </w:rPr>
        <w:t> </w:t>
      </w:r>
      <w:r>
        <w:rPr/>
        <w:t>and</w:t>
      </w:r>
      <w:r>
        <w:rPr>
          <w:spacing w:val="-2"/>
        </w:rPr>
        <w:t> </w:t>
      </w:r>
      <w:r>
        <w:rPr/>
        <w:t>included</w:t>
      </w:r>
      <w:r>
        <w:rPr>
          <w:spacing w:val="-2"/>
        </w:rPr>
        <w:t> </w:t>
      </w:r>
      <w:r>
        <w:rPr/>
        <w:t>in PHA</w:t>
      </w:r>
      <w:r>
        <w:rPr>
          <w:spacing w:val="-2"/>
        </w:rPr>
        <w:t> </w:t>
      </w:r>
      <w:r>
        <w:rPr/>
        <w:t>policy.</w:t>
      </w:r>
      <w:r>
        <w:rPr>
          <w:spacing w:val="-1"/>
        </w:rPr>
        <w:t> </w:t>
      </w:r>
      <w:r>
        <w:rPr/>
        <w:t>Unlike</w:t>
      </w:r>
      <w:r>
        <w:rPr>
          <w:spacing w:val="-2"/>
        </w:rPr>
        <w:t> </w:t>
      </w:r>
      <w:r>
        <w:rPr/>
        <w:t>the</w:t>
      </w:r>
      <w:r>
        <w:rPr>
          <w:spacing w:val="-2"/>
        </w:rPr>
        <w:t> </w:t>
      </w:r>
      <w:r>
        <w:rPr/>
        <w:t>public</w:t>
      </w:r>
      <w:r>
        <w:rPr>
          <w:spacing w:val="-2"/>
        </w:rPr>
        <w:t> </w:t>
      </w:r>
      <w:r>
        <w:rPr/>
        <w:t>housing</w:t>
      </w:r>
      <w:r>
        <w:rPr>
          <w:spacing w:val="-1"/>
        </w:rPr>
        <w:t> </w:t>
      </w:r>
      <w:r>
        <w:rPr/>
        <w:t>lease,</w:t>
      </w:r>
      <w:r>
        <w:rPr>
          <w:spacing w:val="-1"/>
        </w:rPr>
        <w:t> </w:t>
      </w:r>
      <w:r>
        <w:rPr/>
        <w:t>a</w:t>
      </w:r>
      <w:r>
        <w:rPr>
          <w:spacing w:val="-2"/>
        </w:rPr>
        <w:t> </w:t>
      </w:r>
      <w:r>
        <w:rPr/>
        <w:t>12-month</w:t>
      </w:r>
      <w:r>
        <w:rPr>
          <w:spacing w:val="-1"/>
        </w:rPr>
        <w:t> </w:t>
      </w:r>
      <w:r>
        <w:rPr/>
        <w:t>lease</w:t>
      </w:r>
      <w:r>
        <w:rPr>
          <w:spacing w:val="-2"/>
        </w:rPr>
        <w:t> </w:t>
      </w:r>
      <w:r>
        <w:rPr/>
        <w:t>term</w:t>
      </w:r>
      <w:r>
        <w:rPr>
          <w:spacing w:val="-1"/>
        </w:rPr>
        <w:t> </w:t>
      </w:r>
      <w:r>
        <w:rPr/>
        <w:t>is</w:t>
      </w:r>
      <w:r>
        <w:rPr>
          <w:spacing w:val="-1"/>
        </w:rPr>
        <w:t> </w:t>
      </w:r>
      <w:r>
        <w:rPr/>
        <w:t>not</w:t>
      </w:r>
      <w:r>
        <w:rPr>
          <w:spacing w:val="-1"/>
        </w:rPr>
        <w:t> </w:t>
      </w:r>
      <w:r>
        <w:rPr/>
        <w:t>required.</w:t>
      </w:r>
      <w:r>
        <w:rPr>
          <w:spacing w:val="-1"/>
        </w:rPr>
        <w:t> </w:t>
      </w:r>
      <w:r>
        <w:rPr/>
        <w:t>PHA’s</w:t>
      </w:r>
      <w:r>
        <w:rPr>
          <w:spacing w:val="-1"/>
        </w:rPr>
        <w:t> </w:t>
      </w:r>
      <w:r>
        <w:rPr/>
        <w:t>may choose to offer NPHOI families leases on a month-to-month basis.</w:t>
      </w:r>
    </w:p>
    <w:p>
      <w:pPr>
        <w:pStyle w:val="BodyText"/>
        <w:spacing w:line="259" w:lineRule="auto" w:before="159"/>
        <w:ind w:left="120" w:right="1482"/>
      </w:pPr>
      <w:r>
        <w:rPr>
          <w:i/>
        </w:rPr>
        <w:t>Security</w:t>
      </w:r>
      <w:r>
        <w:rPr>
          <w:i/>
          <w:spacing w:val="-5"/>
        </w:rPr>
        <w:t> </w:t>
      </w:r>
      <w:r>
        <w:rPr>
          <w:i/>
        </w:rPr>
        <w:t>deposits</w:t>
      </w:r>
      <w:r>
        <w:rPr>
          <w:i/>
          <w:spacing w:val="-3"/>
        </w:rPr>
        <w:t> </w:t>
      </w:r>
      <w:r>
        <w:rPr/>
        <w:t>-</w:t>
      </w:r>
      <w:r>
        <w:rPr>
          <w:spacing w:val="-4"/>
        </w:rPr>
        <w:t> </w:t>
      </w:r>
      <w:r>
        <w:rPr/>
        <w:t>The</w:t>
      </w:r>
      <w:r>
        <w:rPr>
          <w:spacing w:val="-4"/>
        </w:rPr>
        <w:t> </w:t>
      </w:r>
      <w:r>
        <w:rPr/>
        <w:t>lease</w:t>
      </w:r>
      <w:r>
        <w:rPr>
          <w:spacing w:val="-4"/>
        </w:rPr>
        <w:t> </w:t>
      </w:r>
      <w:r>
        <w:rPr/>
        <w:t>must</w:t>
      </w:r>
      <w:r>
        <w:rPr>
          <w:spacing w:val="-3"/>
        </w:rPr>
        <w:t> </w:t>
      </w:r>
      <w:r>
        <w:rPr/>
        <w:t>provide</w:t>
      </w:r>
      <w:r>
        <w:rPr>
          <w:spacing w:val="-4"/>
        </w:rPr>
        <w:t> </w:t>
      </w:r>
      <w:r>
        <w:rPr/>
        <w:t>that</w:t>
      </w:r>
      <w:r>
        <w:rPr>
          <w:spacing w:val="-3"/>
        </w:rPr>
        <w:t> </w:t>
      </w:r>
      <w:r>
        <w:rPr/>
        <w:t>any</w:t>
      </w:r>
      <w:r>
        <w:rPr>
          <w:spacing w:val="-1"/>
        </w:rPr>
        <w:t> </w:t>
      </w:r>
      <w:r>
        <w:rPr/>
        <w:t>previously</w:t>
      </w:r>
      <w:r>
        <w:rPr>
          <w:spacing w:val="-3"/>
        </w:rPr>
        <w:t> </w:t>
      </w:r>
      <w:r>
        <w:rPr/>
        <w:t>paid</w:t>
      </w:r>
      <w:r>
        <w:rPr>
          <w:spacing w:val="-3"/>
        </w:rPr>
        <w:t> </w:t>
      </w:r>
      <w:r>
        <w:rPr/>
        <w:t>security</w:t>
      </w:r>
      <w:r>
        <w:rPr>
          <w:spacing w:val="-1"/>
        </w:rPr>
        <w:t> </w:t>
      </w:r>
      <w:r>
        <w:rPr/>
        <w:t>deposit</w:t>
      </w:r>
      <w:r>
        <w:rPr>
          <w:spacing w:val="-3"/>
        </w:rPr>
        <w:t> </w:t>
      </w:r>
      <w:r>
        <w:rPr/>
        <w:t>will</w:t>
      </w:r>
      <w:r>
        <w:rPr>
          <w:spacing w:val="-3"/>
        </w:rPr>
        <w:t> </w:t>
      </w:r>
      <w:r>
        <w:rPr/>
        <w:t>be applied to the tenancy upon signing a new lease.</w:t>
      </w:r>
    </w:p>
    <w:p>
      <w:pPr>
        <w:spacing w:line="259" w:lineRule="auto" w:before="160"/>
        <w:ind w:left="120" w:right="1255" w:firstLine="0"/>
        <w:jc w:val="both"/>
        <w:rPr>
          <w:sz w:val="24"/>
        </w:rPr>
      </w:pPr>
      <w:r>
        <w:rPr>
          <w:i/>
          <w:sz w:val="24"/>
        </w:rPr>
        <w:t>No</w:t>
      </w:r>
      <w:r>
        <w:rPr>
          <w:i/>
          <w:spacing w:val="-3"/>
          <w:sz w:val="24"/>
        </w:rPr>
        <w:t> </w:t>
      </w:r>
      <w:r>
        <w:rPr>
          <w:i/>
          <w:sz w:val="24"/>
        </w:rPr>
        <w:t>automatic</w:t>
      </w:r>
      <w:r>
        <w:rPr>
          <w:i/>
          <w:spacing w:val="-5"/>
          <w:sz w:val="24"/>
        </w:rPr>
        <w:t> </w:t>
      </w:r>
      <w:r>
        <w:rPr>
          <w:i/>
          <w:sz w:val="24"/>
        </w:rPr>
        <w:t>lease</w:t>
      </w:r>
      <w:r>
        <w:rPr>
          <w:i/>
          <w:spacing w:val="-4"/>
          <w:sz w:val="24"/>
        </w:rPr>
        <w:t> </w:t>
      </w:r>
      <w:r>
        <w:rPr>
          <w:i/>
          <w:sz w:val="24"/>
        </w:rPr>
        <w:t>renewal</w:t>
      </w:r>
      <w:r>
        <w:rPr>
          <w:i/>
          <w:spacing w:val="-3"/>
          <w:sz w:val="24"/>
        </w:rPr>
        <w:t> </w:t>
      </w:r>
      <w:r>
        <w:rPr>
          <w:sz w:val="24"/>
        </w:rPr>
        <w:t>-</w:t>
      </w:r>
      <w:r>
        <w:rPr>
          <w:spacing w:val="-4"/>
          <w:sz w:val="24"/>
        </w:rPr>
        <w:t> </w:t>
      </w:r>
      <w:r>
        <w:rPr>
          <w:sz w:val="24"/>
        </w:rPr>
        <w:t>Upon</w:t>
      </w:r>
      <w:r>
        <w:rPr>
          <w:spacing w:val="-3"/>
          <w:sz w:val="24"/>
        </w:rPr>
        <w:t> </w:t>
      </w:r>
      <w:r>
        <w:rPr>
          <w:sz w:val="24"/>
        </w:rPr>
        <w:t>expiration</w:t>
      </w:r>
      <w:r>
        <w:rPr>
          <w:spacing w:val="-3"/>
          <w:sz w:val="24"/>
        </w:rPr>
        <w:t> </w:t>
      </w:r>
      <w:r>
        <w:rPr>
          <w:sz w:val="24"/>
        </w:rPr>
        <w:t>of</w:t>
      </w:r>
      <w:r>
        <w:rPr>
          <w:spacing w:val="-2"/>
          <w:sz w:val="24"/>
        </w:rPr>
        <w:t> </w:t>
      </w:r>
      <w:r>
        <w:rPr>
          <w:sz w:val="24"/>
        </w:rPr>
        <w:t>the</w:t>
      </w:r>
      <w:r>
        <w:rPr>
          <w:spacing w:val="-4"/>
          <w:sz w:val="24"/>
        </w:rPr>
        <w:t> </w:t>
      </w:r>
      <w:r>
        <w:rPr>
          <w:sz w:val="24"/>
        </w:rPr>
        <w:t>lease</w:t>
      </w:r>
      <w:r>
        <w:rPr>
          <w:spacing w:val="-5"/>
          <w:sz w:val="24"/>
        </w:rPr>
        <w:t> </w:t>
      </w:r>
      <w:r>
        <w:rPr>
          <w:sz w:val="24"/>
        </w:rPr>
        <w:t>term,</w:t>
      </w:r>
      <w:r>
        <w:rPr>
          <w:spacing w:val="-3"/>
          <w:sz w:val="24"/>
        </w:rPr>
        <w:t> </w:t>
      </w:r>
      <w:r>
        <w:rPr>
          <w:sz w:val="24"/>
        </w:rPr>
        <w:t>the</w:t>
      </w:r>
      <w:r>
        <w:rPr>
          <w:spacing w:val="-4"/>
          <w:sz w:val="24"/>
        </w:rPr>
        <w:t> </w:t>
      </w:r>
      <w:r>
        <w:rPr>
          <w:sz w:val="24"/>
        </w:rPr>
        <w:t>lease</w:t>
      </w:r>
      <w:r>
        <w:rPr>
          <w:spacing w:val="-4"/>
          <w:sz w:val="24"/>
        </w:rPr>
        <w:t> </w:t>
      </w:r>
      <w:r>
        <w:rPr>
          <w:sz w:val="24"/>
        </w:rPr>
        <w:t>shall</w:t>
      </w:r>
      <w:r>
        <w:rPr>
          <w:spacing w:val="-3"/>
          <w:sz w:val="24"/>
        </w:rPr>
        <w:t> </w:t>
      </w:r>
      <w:r>
        <w:rPr>
          <w:sz w:val="24"/>
        </w:rPr>
        <w:t>not</w:t>
      </w:r>
      <w:r>
        <w:rPr>
          <w:spacing w:val="-3"/>
          <w:sz w:val="24"/>
        </w:rPr>
        <w:t> </w:t>
      </w:r>
      <w:r>
        <w:rPr>
          <w:sz w:val="24"/>
        </w:rPr>
        <w:t>automatically </w:t>
      </w:r>
      <w:r>
        <w:rPr>
          <w:spacing w:val="-2"/>
          <w:sz w:val="24"/>
        </w:rPr>
        <w:t>renew.</w:t>
      </w:r>
    </w:p>
    <w:p>
      <w:pPr>
        <w:pStyle w:val="BodyText"/>
        <w:spacing w:line="259" w:lineRule="auto" w:before="160"/>
        <w:ind w:left="120" w:right="1204"/>
      </w:pPr>
      <w:r>
        <w:rPr>
          <w:i/>
        </w:rPr>
        <w:t>Grievance</w:t>
      </w:r>
      <w:r>
        <w:rPr>
          <w:i/>
          <w:spacing w:val="-4"/>
        </w:rPr>
        <w:t> </w:t>
      </w:r>
      <w:r>
        <w:rPr>
          <w:i/>
        </w:rPr>
        <w:t>procedures</w:t>
      </w:r>
      <w:r>
        <w:rPr>
          <w:i/>
          <w:spacing w:val="-3"/>
        </w:rPr>
        <w:t> </w:t>
      </w:r>
      <w:r>
        <w:rPr/>
        <w:t>-</w:t>
      </w:r>
      <w:r>
        <w:rPr>
          <w:spacing w:val="-2"/>
        </w:rPr>
        <w:t> </w:t>
      </w:r>
      <w:r>
        <w:rPr/>
        <w:t>The</w:t>
      </w:r>
      <w:r>
        <w:rPr>
          <w:spacing w:val="-5"/>
        </w:rPr>
        <w:t> </w:t>
      </w:r>
      <w:r>
        <w:rPr/>
        <w:t>lease</w:t>
      </w:r>
      <w:r>
        <w:rPr>
          <w:spacing w:val="-4"/>
        </w:rPr>
        <w:t> </w:t>
      </w:r>
      <w:r>
        <w:rPr/>
        <w:t>may</w:t>
      </w:r>
      <w:r>
        <w:rPr>
          <w:spacing w:val="-3"/>
        </w:rPr>
        <w:t> </w:t>
      </w:r>
      <w:r>
        <w:rPr/>
        <w:t>include</w:t>
      </w:r>
      <w:r>
        <w:rPr>
          <w:spacing w:val="-4"/>
        </w:rPr>
        <w:t> </w:t>
      </w:r>
      <w:r>
        <w:rPr/>
        <w:t>hearing</w:t>
      </w:r>
      <w:r>
        <w:rPr>
          <w:spacing w:val="-3"/>
        </w:rPr>
        <w:t> </w:t>
      </w:r>
      <w:r>
        <w:rPr/>
        <w:t>or</w:t>
      </w:r>
      <w:r>
        <w:rPr>
          <w:spacing w:val="-4"/>
        </w:rPr>
        <w:t> </w:t>
      </w:r>
      <w:r>
        <w:rPr/>
        <w:t>grievance</w:t>
      </w:r>
      <w:r>
        <w:rPr>
          <w:spacing w:val="-5"/>
        </w:rPr>
        <w:t> </w:t>
      </w:r>
      <w:r>
        <w:rPr/>
        <w:t>procedures</w:t>
      </w:r>
      <w:r>
        <w:rPr>
          <w:spacing w:val="-3"/>
        </w:rPr>
        <w:t> </w:t>
      </w:r>
      <w:r>
        <w:rPr/>
        <w:t>and</w:t>
      </w:r>
      <w:r>
        <w:rPr>
          <w:spacing w:val="-3"/>
        </w:rPr>
        <w:t> </w:t>
      </w:r>
      <w:r>
        <w:rPr/>
        <w:t>may</w:t>
      </w:r>
      <w:r>
        <w:rPr>
          <w:spacing w:val="-1"/>
        </w:rPr>
        <w:t> </w:t>
      </w:r>
      <w:r>
        <w:rPr/>
        <w:t>explain when the procedures are available to the family. However, it should be noted that hearing or grievance procedures for NPHOI families are at the discretion of the PHA.</w:t>
      </w:r>
    </w:p>
    <w:p>
      <w:pPr>
        <w:pStyle w:val="BodyText"/>
        <w:spacing w:before="9"/>
        <w:rPr>
          <w:sz w:val="37"/>
        </w:rPr>
      </w:pPr>
    </w:p>
    <w:p>
      <w:pPr>
        <w:pStyle w:val="Heading2"/>
        <w:numPr>
          <w:ilvl w:val="0"/>
          <w:numId w:val="2"/>
        </w:numPr>
        <w:tabs>
          <w:tab w:pos="840" w:val="left" w:leader="none"/>
        </w:tabs>
        <w:spacing w:line="240" w:lineRule="auto" w:before="1" w:after="0"/>
        <w:ind w:left="840" w:right="0" w:hanging="360"/>
        <w:jc w:val="left"/>
      </w:pPr>
      <w:bookmarkStart w:name="9. Unit Tenant Status Category and Sub-C" w:id="55"/>
      <w:bookmarkEnd w:id="55"/>
      <w:r>
        <w:rPr>
          <w:b w:val="0"/>
        </w:rPr>
      </w:r>
      <w:bookmarkStart w:name="_bookmark41" w:id="56"/>
      <w:bookmarkEnd w:id="56"/>
      <w:r>
        <w:rPr/>
        <w:t>U</w:t>
      </w:r>
      <w:r>
        <w:rPr/>
        <w:t>nit</w:t>
      </w:r>
      <w:r>
        <w:rPr>
          <w:spacing w:val="-9"/>
        </w:rPr>
        <w:t> </w:t>
      </w:r>
      <w:r>
        <w:rPr/>
        <w:t>Tenant</w:t>
      </w:r>
      <w:r>
        <w:rPr>
          <w:spacing w:val="-9"/>
        </w:rPr>
        <w:t> </w:t>
      </w:r>
      <w:r>
        <w:rPr/>
        <w:t>Status</w:t>
      </w:r>
      <w:r>
        <w:rPr>
          <w:spacing w:val="-7"/>
        </w:rPr>
        <w:t> </w:t>
      </w:r>
      <w:r>
        <w:rPr/>
        <w:t>Category</w:t>
      </w:r>
      <w:r>
        <w:rPr>
          <w:spacing w:val="-8"/>
        </w:rPr>
        <w:t> </w:t>
      </w:r>
      <w:r>
        <w:rPr/>
        <w:t>and</w:t>
      </w:r>
      <w:r>
        <w:rPr>
          <w:spacing w:val="-8"/>
        </w:rPr>
        <w:t> </w:t>
      </w:r>
      <w:r>
        <w:rPr/>
        <w:t>Sub-</w:t>
      </w:r>
      <w:r>
        <w:rPr>
          <w:spacing w:val="-2"/>
        </w:rPr>
        <w:t>Category</w:t>
      </w:r>
    </w:p>
    <w:p>
      <w:pPr>
        <w:pStyle w:val="BodyText"/>
        <w:ind w:left="120" w:right="1434"/>
      </w:pPr>
      <w:r>
        <w:rPr/>
        <w:t>The</w:t>
      </w:r>
      <w:r>
        <w:rPr>
          <w:spacing w:val="-3"/>
        </w:rPr>
        <w:t> </w:t>
      </w:r>
      <w:r>
        <w:rPr/>
        <w:t>IMS/PIC</w:t>
      </w:r>
      <w:r>
        <w:rPr>
          <w:spacing w:val="-5"/>
        </w:rPr>
        <w:t> </w:t>
      </w:r>
      <w:r>
        <w:rPr/>
        <w:t>Development</w:t>
      </w:r>
      <w:r>
        <w:rPr>
          <w:spacing w:val="-4"/>
        </w:rPr>
        <w:t> </w:t>
      </w:r>
      <w:r>
        <w:rPr/>
        <w:t>Submodule</w:t>
      </w:r>
      <w:r>
        <w:rPr>
          <w:spacing w:val="-5"/>
        </w:rPr>
        <w:t> </w:t>
      </w:r>
      <w:r>
        <w:rPr/>
        <w:t>categorizes</w:t>
      </w:r>
      <w:r>
        <w:rPr>
          <w:spacing w:val="-4"/>
        </w:rPr>
        <w:t> </w:t>
      </w:r>
      <w:r>
        <w:rPr/>
        <w:t>units</w:t>
      </w:r>
      <w:r>
        <w:rPr>
          <w:spacing w:val="-4"/>
        </w:rPr>
        <w:t> </w:t>
      </w:r>
      <w:r>
        <w:rPr/>
        <w:t>by</w:t>
      </w:r>
      <w:r>
        <w:rPr>
          <w:spacing w:val="-4"/>
        </w:rPr>
        <w:t> </w:t>
      </w:r>
      <w:r>
        <w:rPr/>
        <w:t>Unit</w:t>
      </w:r>
      <w:r>
        <w:rPr>
          <w:spacing w:val="-4"/>
        </w:rPr>
        <w:t> </w:t>
      </w:r>
      <w:r>
        <w:rPr/>
        <w:t>Tenant</w:t>
      </w:r>
      <w:r>
        <w:rPr>
          <w:spacing w:val="-4"/>
        </w:rPr>
        <w:t> </w:t>
      </w:r>
      <w:r>
        <w:rPr/>
        <w:t>Status</w:t>
      </w:r>
      <w:r>
        <w:rPr>
          <w:spacing w:val="-4"/>
        </w:rPr>
        <w:t> </w:t>
      </w:r>
      <w:r>
        <w:rPr/>
        <w:t>Categories</w:t>
      </w:r>
      <w:r>
        <w:rPr>
          <w:spacing w:val="-4"/>
        </w:rPr>
        <w:t> </w:t>
      </w:r>
      <w:r>
        <w:rPr/>
        <w:t>and Sub-Categories. Per Notice PIH 2021-35, PHAs must ensure that a unit meets the substantive requirements of a Unit Tenant Status Sub-Category for the entire period that it is in that Sub- Category in IMS/PIC. Each Sub-Category corresponds to one of four Categories: Occupied, Vacant, Vacant HUD Approved, and Non-Dwelling.</w:t>
      </w:r>
    </w:p>
    <w:p>
      <w:pPr>
        <w:pStyle w:val="BodyText"/>
      </w:pPr>
    </w:p>
    <w:p>
      <w:pPr>
        <w:pStyle w:val="BodyText"/>
        <w:ind w:left="120" w:right="1416"/>
      </w:pPr>
      <w:r>
        <w:rPr/>
        <w:t>At</w:t>
      </w:r>
      <w:r>
        <w:rPr>
          <w:spacing w:val="-3"/>
        </w:rPr>
        <w:t> </w:t>
      </w:r>
      <w:r>
        <w:rPr/>
        <w:t>this</w:t>
      </w:r>
      <w:r>
        <w:rPr>
          <w:spacing w:val="-3"/>
        </w:rPr>
        <w:t> </w:t>
      </w:r>
      <w:r>
        <w:rPr/>
        <w:t>time,</w:t>
      </w:r>
      <w:r>
        <w:rPr>
          <w:spacing w:val="-3"/>
        </w:rPr>
        <w:t> </w:t>
      </w:r>
      <w:r>
        <w:rPr/>
        <w:t>PHAs</w:t>
      </w:r>
      <w:r>
        <w:rPr>
          <w:spacing w:val="-3"/>
        </w:rPr>
        <w:t> </w:t>
      </w:r>
      <w:r>
        <w:rPr/>
        <w:t>will</w:t>
      </w:r>
      <w:r>
        <w:rPr>
          <w:spacing w:val="-3"/>
        </w:rPr>
        <w:t> </w:t>
      </w:r>
      <w:r>
        <w:rPr/>
        <w:t>categorize</w:t>
      </w:r>
      <w:r>
        <w:rPr>
          <w:spacing w:val="-4"/>
        </w:rPr>
        <w:t> </w:t>
      </w:r>
      <w:r>
        <w:rPr/>
        <w:t>units</w:t>
      </w:r>
      <w:r>
        <w:rPr>
          <w:spacing w:val="-3"/>
        </w:rPr>
        <w:t> </w:t>
      </w:r>
      <w:r>
        <w:rPr/>
        <w:t>occupied</w:t>
      </w:r>
      <w:r>
        <w:rPr>
          <w:spacing w:val="-1"/>
        </w:rPr>
        <w:t> </w:t>
      </w:r>
      <w:r>
        <w:rPr/>
        <w:t>by</w:t>
      </w:r>
      <w:r>
        <w:rPr>
          <w:spacing w:val="-3"/>
        </w:rPr>
        <w:t> </w:t>
      </w:r>
      <w:r>
        <w:rPr/>
        <w:t>NPHOI</w:t>
      </w:r>
      <w:r>
        <w:rPr>
          <w:spacing w:val="-8"/>
        </w:rPr>
        <w:t> </w:t>
      </w:r>
      <w:r>
        <w:rPr/>
        <w:t>families</w:t>
      </w:r>
      <w:r>
        <w:rPr>
          <w:spacing w:val="-3"/>
        </w:rPr>
        <w:t> </w:t>
      </w:r>
      <w:r>
        <w:rPr/>
        <w:t>as</w:t>
      </w:r>
      <w:r>
        <w:rPr>
          <w:spacing w:val="-3"/>
        </w:rPr>
        <w:t> </w:t>
      </w:r>
      <w:r>
        <w:rPr/>
        <w:t>‘Non-Assisted</w:t>
      </w:r>
      <w:r>
        <w:rPr>
          <w:spacing w:val="-3"/>
        </w:rPr>
        <w:t> </w:t>
      </w:r>
      <w:r>
        <w:rPr/>
        <w:t>Tenant Over Income’ in IMS/PIC. However, a new sub-category will be created in HIP. When this system is ready, PHAs will categorize units occupied by NPHOI families as ‘Non-Public Housing Over-Income (NPHOI) Tenant’.</w:t>
      </w:r>
    </w:p>
    <w:p>
      <w:pPr>
        <w:pStyle w:val="BodyText"/>
      </w:pPr>
    </w:p>
    <w:p>
      <w:pPr>
        <w:pStyle w:val="Heading2"/>
        <w:numPr>
          <w:ilvl w:val="0"/>
          <w:numId w:val="2"/>
        </w:numPr>
        <w:tabs>
          <w:tab w:pos="840" w:val="left" w:leader="none"/>
        </w:tabs>
        <w:spacing w:line="240" w:lineRule="auto" w:before="0" w:after="0"/>
        <w:ind w:left="840" w:right="0" w:hanging="360"/>
        <w:jc w:val="left"/>
      </w:pPr>
      <w:bookmarkStart w:name="10. Repositioning" w:id="57"/>
      <w:bookmarkEnd w:id="57"/>
      <w:r>
        <w:rPr>
          <w:b w:val="0"/>
        </w:rPr>
      </w:r>
      <w:bookmarkStart w:name="_bookmark42" w:id="58"/>
      <w:bookmarkEnd w:id="58"/>
      <w:r>
        <w:rPr>
          <w:spacing w:val="-2"/>
        </w:rPr>
        <w:t>R</w:t>
      </w:r>
      <w:r>
        <w:rPr>
          <w:spacing w:val="-2"/>
        </w:rPr>
        <w:t>epositioning</w:t>
      </w:r>
    </w:p>
    <w:p>
      <w:pPr>
        <w:pStyle w:val="BodyText"/>
        <w:ind w:left="120" w:right="1204"/>
      </w:pPr>
      <w:r>
        <w:rPr/>
        <w:t>When the 2020 FRN reopened comments on the Over-Income requirements, several questions were</w:t>
      </w:r>
      <w:r>
        <w:rPr>
          <w:spacing w:val="-2"/>
        </w:rPr>
        <w:t> </w:t>
      </w:r>
      <w:r>
        <w:rPr/>
        <w:t>raised</w:t>
      </w:r>
      <w:r>
        <w:rPr>
          <w:spacing w:val="-3"/>
        </w:rPr>
        <w:t> </w:t>
      </w:r>
      <w:r>
        <w:rPr/>
        <w:t>about</w:t>
      </w:r>
      <w:r>
        <w:rPr>
          <w:spacing w:val="-3"/>
        </w:rPr>
        <w:t> </w:t>
      </w:r>
      <w:r>
        <w:rPr/>
        <w:t>the</w:t>
      </w:r>
      <w:r>
        <w:rPr>
          <w:spacing w:val="-4"/>
        </w:rPr>
        <w:t> </w:t>
      </w:r>
      <w:r>
        <w:rPr/>
        <w:t>impact</w:t>
      </w:r>
      <w:r>
        <w:rPr>
          <w:spacing w:val="-3"/>
        </w:rPr>
        <w:t> </w:t>
      </w:r>
      <w:r>
        <w:rPr/>
        <w:t>of</w:t>
      </w:r>
      <w:r>
        <w:rPr>
          <w:spacing w:val="-4"/>
        </w:rPr>
        <w:t> </w:t>
      </w:r>
      <w:r>
        <w:rPr/>
        <w:t>OI</w:t>
      </w:r>
      <w:r>
        <w:rPr>
          <w:spacing w:val="-4"/>
        </w:rPr>
        <w:t> </w:t>
      </w:r>
      <w:r>
        <w:rPr/>
        <w:t>families</w:t>
      </w:r>
      <w:r>
        <w:rPr>
          <w:spacing w:val="-3"/>
        </w:rPr>
        <w:t> </w:t>
      </w:r>
      <w:r>
        <w:rPr/>
        <w:t>on</w:t>
      </w:r>
      <w:r>
        <w:rPr>
          <w:spacing w:val="-3"/>
        </w:rPr>
        <w:t> </w:t>
      </w:r>
      <w:r>
        <w:rPr/>
        <w:t>PHAs</w:t>
      </w:r>
      <w:r>
        <w:rPr>
          <w:spacing w:val="-3"/>
        </w:rPr>
        <w:t> </w:t>
      </w:r>
      <w:r>
        <w:rPr/>
        <w:t>undergoing</w:t>
      </w:r>
      <w:r>
        <w:rPr>
          <w:spacing w:val="-3"/>
        </w:rPr>
        <w:t> </w:t>
      </w:r>
      <w:r>
        <w:rPr/>
        <w:t>repositioning.</w:t>
      </w:r>
      <w:r>
        <w:rPr>
          <w:spacing w:val="-3"/>
        </w:rPr>
        <w:t> </w:t>
      </w:r>
      <w:r>
        <w:rPr/>
        <w:t>As</w:t>
      </w:r>
      <w:r>
        <w:rPr>
          <w:spacing w:val="-3"/>
        </w:rPr>
        <w:t> </w:t>
      </w:r>
      <w:r>
        <w:rPr/>
        <w:t>PHAs</w:t>
      </w:r>
      <w:r>
        <w:rPr>
          <w:spacing w:val="-3"/>
        </w:rPr>
        <w:t> </w:t>
      </w:r>
      <w:r>
        <w:rPr/>
        <w:t>make plans to reposition their public housing portfolio, HUD wants to ensure that it is responsive to PHA questions to ensure that these concerns do not become a disincentive for PHAs when</w:t>
      </w:r>
    </w:p>
    <w:p>
      <w:pPr>
        <w:spacing w:after="0"/>
        <w:sectPr>
          <w:pgSz w:w="12240" w:h="15840"/>
          <w:pgMar w:header="0" w:footer="1033" w:top="1360" w:bottom="1220" w:left="1320" w:right="240"/>
        </w:sectPr>
      </w:pPr>
    </w:p>
    <w:p>
      <w:pPr>
        <w:pStyle w:val="BodyText"/>
        <w:spacing w:before="79"/>
        <w:ind w:left="120" w:right="1204"/>
      </w:pPr>
      <w:r>
        <w:rPr/>
        <w:t>considering</w:t>
      </w:r>
      <w:r>
        <w:rPr>
          <w:spacing w:val="-3"/>
        </w:rPr>
        <w:t> </w:t>
      </w:r>
      <w:r>
        <w:rPr/>
        <w:t>whether</w:t>
      </w:r>
      <w:r>
        <w:rPr>
          <w:spacing w:val="-4"/>
        </w:rPr>
        <w:t> </w:t>
      </w:r>
      <w:r>
        <w:rPr/>
        <w:t>to</w:t>
      </w:r>
      <w:r>
        <w:rPr>
          <w:spacing w:val="-3"/>
        </w:rPr>
        <w:t> </w:t>
      </w:r>
      <w:r>
        <w:rPr/>
        <w:t>take</w:t>
      </w:r>
      <w:r>
        <w:rPr>
          <w:spacing w:val="-4"/>
        </w:rPr>
        <w:t> </w:t>
      </w:r>
      <w:r>
        <w:rPr/>
        <w:t>adva</w:t>
      </w:r>
      <w:bookmarkStart w:name="_bookmark43" w:id="59"/>
      <w:bookmarkEnd w:id="59"/>
      <w:r>
        <w:rPr/>
        <w:t>nt</w:t>
      </w:r>
      <w:r>
        <w:rPr/>
        <w:t>age</w:t>
      </w:r>
      <w:r>
        <w:rPr>
          <w:spacing w:val="-5"/>
        </w:rPr>
        <w:t> </w:t>
      </w:r>
      <w:r>
        <w:rPr/>
        <w:t>of</w:t>
      </w:r>
      <w:r>
        <w:rPr>
          <w:spacing w:val="-4"/>
        </w:rPr>
        <w:t> </w:t>
      </w:r>
      <w:r>
        <w:rPr/>
        <w:t>repositioning</w:t>
      </w:r>
      <w:r>
        <w:rPr>
          <w:spacing w:val="-3"/>
        </w:rPr>
        <w:t> </w:t>
      </w:r>
      <w:r>
        <w:rPr/>
        <w:t>options.</w:t>
      </w:r>
      <w:r>
        <w:rPr>
          <w:spacing w:val="-3"/>
        </w:rPr>
        <w:t> </w:t>
      </w:r>
      <w:r>
        <w:rPr/>
        <w:t>PHAs</w:t>
      </w:r>
      <w:r>
        <w:rPr>
          <w:spacing w:val="-3"/>
        </w:rPr>
        <w:t> </w:t>
      </w:r>
      <w:r>
        <w:rPr/>
        <w:t>should</w:t>
      </w:r>
      <w:r>
        <w:rPr>
          <w:spacing w:val="-3"/>
        </w:rPr>
        <w:t> </w:t>
      </w:r>
      <w:r>
        <w:rPr/>
        <w:t>reference</w:t>
      </w:r>
      <w:r>
        <w:rPr>
          <w:spacing w:val="-4"/>
        </w:rPr>
        <w:t> </w:t>
      </w:r>
      <w:r>
        <w:rPr/>
        <w:t>Q5</w:t>
      </w:r>
      <w:r>
        <w:rPr>
          <w:spacing w:val="-3"/>
        </w:rPr>
        <w:t> </w:t>
      </w:r>
      <w:r>
        <w:rPr/>
        <w:t>of</w:t>
      </w:r>
      <w:r>
        <w:rPr>
          <w:spacing w:val="-4"/>
        </w:rPr>
        <w:t> </w:t>
      </w:r>
      <w:r>
        <w:rPr/>
        <w:t>the current PBV Repositioning </w:t>
      </w:r>
      <w:hyperlink r:id="rId15">
        <w:r>
          <w:rPr>
            <w:color w:val="0562C1"/>
            <w:u w:val="single" w:color="0562C1"/>
          </w:rPr>
          <w:t>FAQs</w:t>
        </w:r>
      </w:hyperlink>
      <w:hyperlink w:history="true" w:anchor="_bookmark46">
        <w:r>
          <w:rPr>
            <w:vertAlign w:val="superscript"/>
          </w:rPr>
          <w:t>15</w:t>
        </w:r>
      </w:hyperlink>
      <w:r>
        <w:rPr>
          <w:vertAlign w:val="baseline"/>
        </w:rPr>
        <w:t> regarding the treatment of OI families during repositioning.</w:t>
      </w:r>
    </w:p>
    <w:p>
      <w:pPr>
        <w:pStyle w:val="BodyText"/>
        <w:spacing w:before="2"/>
        <w:rPr>
          <w:sz w:val="16"/>
        </w:rPr>
      </w:pPr>
    </w:p>
    <w:p>
      <w:pPr>
        <w:pStyle w:val="Heading2"/>
        <w:numPr>
          <w:ilvl w:val="0"/>
          <w:numId w:val="2"/>
        </w:numPr>
        <w:tabs>
          <w:tab w:pos="840" w:val="left" w:leader="none"/>
        </w:tabs>
        <w:spacing w:line="240" w:lineRule="auto" w:before="90" w:after="0"/>
        <w:ind w:left="840" w:right="0" w:hanging="360"/>
        <w:jc w:val="left"/>
      </w:pPr>
      <w:bookmarkStart w:name="11. Technical Assistance" w:id="60"/>
      <w:bookmarkEnd w:id="60"/>
      <w:r>
        <w:rPr>
          <w:b w:val="0"/>
        </w:rPr>
      </w:r>
      <w:bookmarkStart w:name="_bookmark44" w:id="61"/>
      <w:bookmarkEnd w:id="61"/>
      <w:r>
        <w:rPr/>
        <w:t>T</w:t>
      </w:r>
      <w:r>
        <w:rPr/>
        <w:t>echnical</w:t>
      </w:r>
      <w:r>
        <w:rPr>
          <w:spacing w:val="-6"/>
        </w:rPr>
        <w:t> </w:t>
      </w:r>
      <w:r>
        <w:rPr>
          <w:spacing w:val="-2"/>
        </w:rPr>
        <w:t>Assistance</w:t>
      </w:r>
    </w:p>
    <w:p>
      <w:pPr>
        <w:pStyle w:val="BodyText"/>
        <w:ind w:left="120" w:right="1204"/>
      </w:pPr>
      <w:r>
        <w:rPr/>
        <w:t>Additional questions should be directed to the local Public Housing Field Office Director. Contact information and locations of these offices are available on HUD’s website at </w:t>
      </w:r>
      <w:hyperlink r:id="rId16">
        <w:r>
          <w:rPr>
            <w:spacing w:val="-2"/>
            <w:u w:val="single"/>
          </w:rPr>
          <w:t>http://portal.hud.gov/hudportal/HUD?src=/program_offices/public_indian_housing/about/focont</w:t>
        </w:r>
      </w:hyperlink>
      <w:r>
        <w:rPr>
          <w:spacing w:val="-2"/>
        </w:rPr>
        <w:t> </w:t>
      </w:r>
      <w:hyperlink r:id="rId16">
        <w:r>
          <w:rPr>
            <w:spacing w:val="-2"/>
            <w:u w:val="single"/>
          </w:rPr>
          <w:t>acts</w:t>
        </w:r>
        <w:r>
          <w:rPr>
            <w:spacing w:val="-2"/>
          </w:rPr>
          <w:t>.</w:t>
        </w:r>
      </w:hyperlink>
    </w:p>
    <w:p>
      <w:pPr>
        <w:pStyle w:val="BodyText"/>
        <w:spacing w:before="2"/>
        <w:rPr>
          <w:sz w:val="16"/>
        </w:rPr>
      </w:pPr>
    </w:p>
    <w:p>
      <w:pPr>
        <w:pStyle w:val="Heading2"/>
        <w:numPr>
          <w:ilvl w:val="0"/>
          <w:numId w:val="2"/>
        </w:numPr>
        <w:tabs>
          <w:tab w:pos="840" w:val="left" w:leader="none"/>
        </w:tabs>
        <w:spacing w:line="240" w:lineRule="auto" w:before="90" w:after="0"/>
        <w:ind w:left="840" w:right="0" w:hanging="360"/>
        <w:jc w:val="left"/>
      </w:pPr>
      <w:bookmarkStart w:name="12. Paperwork Reduction Act" w:id="62"/>
      <w:bookmarkEnd w:id="62"/>
      <w:r>
        <w:rPr>
          <w:b w:val="0"/>
        </w:rPr>
      </w:r>
      <w:bookmarkStart w:name="_bookmark45" w:id="63"/>
      <w:bookmarkEnd w:id="63"/>
      <w:r>
        <w:rPr/>
        <w:t>P</w:t>
      </w:r>
      <w:r>
        <w:rPr/>
        <w:t>aperwork</w:t>
      </w:r>
      <w:r>
        <w:rPr>
          <w:spacing w:val="-10"/>
        </w:rPr>
        <w:t> </w:t>
      </w:r>
      <w:r>
        <w:rPr/>
        <w:t>Reduction</w:t>
      </w:r>
      <w:r>
        <w:rPr>
          <w:spacing w:val="-8"/>
        </w:rPr>
        <w:t> </w:t>
      </w:r>
      <w:r>
        <w:rPr>
          <w:spacing w:val="-5"/>
        </w:rPr>
        <w:t>Act</w:t>
      </w:r>
    </w:p>
    <w:p>
      <w:pPr>
        <w:pStyle w:val="BodyText"/>
        <w:ind w:left="120" w:right="1482"/>
      </w:pPr>
      <w:r>
        <w:rPr/>
        <w:t>The information collection requirements contained in this notice have been approved by the Office of Management and Budget (OMB) under the Paperwork Reduction Act of 1995 (44 U.S.C. 3501-3520) and assigned OMB control number 2577-0230. In accordance with the Paperwork</w:t>
      </w:r>
      <w:r>
        <w:rPr>
          <w:spacing w:val="-4"/>
        </w:rPr>
        <w:t> </w:t>
      </w:r>
      <w:r>
        <w:rPr/>
        <w:t>Reduction</w:t>
      </w:r>
      <w:r>
        <w:rPr>
          <w:spacing w:val="-4"/>
        </w:rPr>
        <w:t> </w:t>
      </w:r>
      <w:r>
        <w:rPr/>
        <w:t>Act,</w:t>
      </w:r>
      <w:r>
        <w:rPr>
          <w:spacing w:val="-3"/>
        </w:rPr>
        <w:t> </w:t>
      </w:r>
      <w:r>
        <w:rPr/>
        <w:t>HUD</w:t>
      </w:r>
      <w:r>
        <w:rPr>
          <w:spacing w:val="-4"/>
        </w:rPr>
        <w:t> </w:t>
      </w:r>
      <w:r>
        <w:rPr/>
        <w:t>may</w:t>
      </w:r>
      <w:r>
        <w:rPr>
          <w:spacing w:val="-3"/>
        </w:rPr>
        <w:t> </w:t>
      </w:r>
      <w:r>
        <w:rPr/>
        <w:t>not</w:t>
      </w:r>
      <w:r>
        <w:rPr>
          <w:spacing w:val="-3"/>
        </w:rPr>
        <w:t> </w:t>
      </w:r>
      <w:r>
        <w:rPr/>
        <w:t>conduct or</w:t>
      </w:r>
      <w:r>
        <w:rPr>
          <w:spacing w:val="-4"/>
        </w:rPr>
        <w:t> </w:t>
      </w:r>
      <w:r>
        <w:rPr/>
        <w:t>sponsor,</w:t>
      </w:r>
      <w:r>
        <w:rPr>
          <w:spacing w:val="-4"/>
        </w:rPr>
        <w:t> </w:t>
      </w:r>
      <w:r>
        <w:rPr/>
        <w:t>and</w:t>
      </w:r>
      <w:r>
        <w:rPr>
          <w:spacing w:val="-4"/>
        </w:rPr>
        <w:t> </w:t>
      </w:r>
      <w:r>
        <w:rPr/>
        <w:t>a</w:t>
      </w:r>
      <w:r>
        <w:rPr>
          <w:spacing w:val="-4"/>
        </w:rPr>
        <w:t> </w:t>
      </w:r>
      <w:r>
        <w:rPr/>
        <w:t>person is</w:t>
      </w:r>
      <w:r>
        <w:rPr>
          <w:spacing w:val="-3"/>
        </w:rPr>
        <w:t> </w:t>
      </w:r>
      <w:r>
        <w:rPr/>
        <w:t>not</w:t>
      </w:r>
      <w:r>
        <w:rPr>
          <w:spacing w:val="-3"/>
        </w:rPr>
        <w:t> </w:t>
      </w:r>
      <w:r>
        <w:rPr/>
        <w:t>required</w:t>
      </w:r>
      <w:r>
        <w:rPr>
          <w:spacing w:val="-3"/>
        </w:rPr>
        <w:t> </w:t>
      </w:r>
      <w:r>
        <w:rPr/>
        <w:t>to respond to, a collection of information unless the collection displays a currently valid OMB control number.</w:t>
      </w:r>
    </w:p>
    <w:p>
      <w:pPr>
        <w:pStyle w:val="BodyText"/>
        <w:rPr>
          <w:sz w:val="20"/>
        </w:rPr>
      </w:pPr>
    </w:p>
    <w:p>
      <w:pPr>
        <w:pStyle w:val="BodyText"/>
        <w:spacing w:before="9"/>
        <w:rPr>
          <w:sz w:val="18"/>
        </w:rPr>
      </w:pPr>
      <w:r>
        <w:rPr/>
        <w:drawing>
          <wp:anchor distT="0" distB="0" distL="0" distR="0" allowOverlap="1" layoutInCell="1" locked="0" behindDoc="0" simplePos="0" relativeHeight="11">
            <wp:simplePos x="0" y="0"/>
            <wp:positionH relativeFrom="page">
              <wp:posOffset>4157928</wp:posOffset>
            </wp:positionH>
            <wp:positionV relativeFrom="paragraph">
              <wp:posOffset>152603</wp:posOffset>
            </wp:positionV>
            <wp:extent cx="1572963" cy="342900"/>
            <wp:effectExtent l="0" t="0" r="0" b="0"/>
            <wp:wrapTopAndBottom/>
            <wp:docPr id="3" name="image2.png" descr="DBlomSig "/>
            <wp:cNvGraphicFramePr>
              <a:graphicFrameLocks noChangeAspect="1"/>
            </wp:cNvGraphicFramePr>
            <a:graphic>
              <a:graphicData uri="http://schemas.openxmlformats.org/drawingml/2006/picture">
                <pic:pic>
                  <pic:nvPicPr>
                    <pic:cNvPr id="4" name="image2.png"/>
                    <pic:cNvPicPr/>
                  </pic:nvPicPr>
                  <pic:blipFill>
                    <a:blip r:embed="rId17" cstate="print"/>
                    <a:stretch>
                      <a:fillRect/>
                    </a:stretch>
                  </pic:blipFill>
                  <pic:spPr>
                    <a:xfrm>
                      <a:off x="0" y="0"/>
                      <a:ext cx="1572963" cy="342900"/>
                    </a:xfrm>
                    <a:prstGeom prst="rect">
                      <a:avLst/>
                    </a:prstGeom>
                  </pic:spPr>
                </pic:pic>
              </a:graphicData>
            </a:graphic>
          </wp:anchor>
        </w:drawing>
      </w:r>
    </w:p>
    <w:p>
      <w:pPr>
        <w:pStyle w:val="BodyText"/>
        <w:rPr>
          <w:sz w:val="20"/>
        </w:rPr>
      </w:pPr>
    </w:p>
    <w:p>
      <w:pPr>
        <w:pStyle w:val="BodyText"/>
        <w:spacing w:before="8"/>
        <w:rPr>
          <w:sz w:val="10"/>
        </w:rPr>
      </w:pPr>
      <w:r>
        <w:rPr/>
        <w:pict>
          <v:shape style="position:absolute;margin-left:324pt;margin-top:7.375877pt;width:216pt;height:.1pt;mso-position-horizontal-relative:page;mso-position-vertical-relative:paragraph;z-index:-15722496;mso-wrap-distance-left:0;mso-wrap-distance-right:0" id="docshape15" coordorigin="6480,148" coordsize="4320,0" path="m6480,148l10800,148e" filled="false" stroked="true" strokeweight=".48pt" strokecolor="#000000">
            <v:path arrowok="t"/>
            <v:stroke dashstyle="solid"/>
            <w10:wrap type="topAndBottom"/>
          </v:shape>
        </w:pict>
      </w:r>
    </w:p>
    <w:p>
      <w:pPr>
        <w:pStyle w:val="BodyText"/>
        <w:ind w:left="5160"/>
      </w:pPr>
      <w:r>
        <w:rPr/>
        <w:t>Dominique</w:t>
      </w:r>
      <w:r>
        <w:rPr>
          <w:spacing w:val="-4"/>
        </w:rPr>
        <w:t> </w:t>
      </w:r>
      <w:r>
        <w:rPr>
          <w:spacing w:val="-2"/>
        </w:rPr>
        <w:t>Blom,</w:t>
      </w:r>
    </w:p>
    <w:p>
      <w:pPr>
        <w:pStyle w:val="BodyText"/>
        <w:ind w:left="5400" w:right="1869" w:hanging="240"/>
      </w:pPr>
      <w:r>
        <w:rPr/>
        <w:t>General</w:t>
      </w:r>
      <w:r>
        <w:rPr>
          <w:spacing w:val="-14"/>
        </w:rPr>
        <w:t> </w:t>
      </w:r>
      <w:r>
        <w:rPr/>
        <w:t>Deputy</w:t>
      </w:r>
      <w:r>
        <w:rPr>
          <w:spacing w:val="-14"/>
        </w:rPr>
        <w:t> </w:t>
      </w:r>
      <w:r>
        <w:rPr/>
        <w:t>Assistant</w:t>
      </w:r>
      <w:r>
        <w:rPr>
          <w:spacing w:val="-14"/>
        </w:rPr>
        <w:t> </w:t>
      </w:r>
      <w:r>
        <w:rPr/>
        <w:t>Secretary for Public and Indian Housing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r>
        <w:rPr/>
        <w:pict>
          <v:rect style="position:absolute;margin-left:72pt;margin-top:13.765941pt;width:144pt;height:.71pt;mso-position-horizontal-relative:page;mso-position-vertical-relative:paragraph;z-index:-15721984;mso-wrap-distance-left:0;mso-wrap-distance-right:0" id="docshape16" filled="true" fillcolor="#000000" stroked="false">
            <v:fill type="solid"/>
            <w10:wrap type="topAndBottom"/>
          </v:rect>
        </w:pict>
      </w:r>
    </w:p>
    <w:p>
      <w:pPr>
        <w:spacing w:before="103"/>
        <w:ind w:left="120" w:right="0" w:firstLine="0"/>
        <w:jc w:val="left"/>
        <w:rPr>
          <w:sz w:val="16"/>
        </w:rPr>
      </w:pPr>
      <w:hyperlink w:history="true" w:anchor="_bookmark43">
        <w:r>
          <w:rPr>
            <w:sz w:val="16"/>
            <w:vertAlign w:val="superscript"/>
          </w:rPr>
          <w:t>15</w:t>
        </w:r>
      </w:hyperlink>
      <w:r>
        <w:rPr>
          <w:spacing w:val="-1"/>
          <w:sz w:val="16"/>
          <w:vertAlign w:val="baseline"/>
        </w:rPr>
        <w:t> </w:t>
      </w:r>
      <w:bookmarkStart w:name="_bookmark46" w:id="64"/>
      <w:bookmarkEnd w:id="64"/>
      <w:r>
        <w:rPr>
          <w:sz w:val="16"/>
          <w:vertAlign w:val="baseline"/>
        </w:rPr>
      </w:r>
      <w:hyperlink r:id="rId18">
        <w:r>
          <w:rPr>
            <w:color w:val="0562C1"/>
            <w:spacing w:val="-2"/>
            <w:sz w:val="16"/>
            <w:u w:val="single" w:color="0562C1"/>
            <w:vertAlign w:val="baseline"/>
          </w:rPr>
          <w:t>https://www.hud.gov/program_offices/public_indian_housing/programs/hcv/project</w:t>
        </w:r>
      </w:hyperlink>
    </w:p>
    <w:p>
      <w:pPr>
        <w:spacing w:after="0"/>
        <w:jc w:val="left"/>
        <w:rPr>
          <w:sz w:val="16"/>
        </w:rPr>
        <w:sectPr>
          <w:pgSz w:w="12240" w:h="15840"/>
          <w:pgMar w:header="0" w:footer="1033" w:top="1360" w:bottom="1220" w:left="1320" w:right="240"/>
        </w:sectPr>
      </w:pPr>
    </w:p>
    <w:p>
      <w:pPr>
        <w:pStyle w:val="Heading1"/>
        <w:rPr>
          <w:b w:val="0"/>
        </w:rPr>
      </w:pPr>
      <w:bookmarkStart w:name="Appendix I – How to Process an Over-Inco" w:id="65"/>
      <w:bookmarkEnd w:id="65"/>
      <w:r>
        <w:rPr/>
      </w:r>
      <w:bookmarkStart w:name="_bookmark47" w:id="66"/>
      <w:bookmarkEnd w:id="66"/>
      <w:r>
        <w:rPr/>
      </w:r>
      <w:r>
        <w:rPr>
          <w:b w:val="0"/>
          <w:color w:val="2E5395"/>
        </w:rPr>
        <w:t>Appendix</w:t>
      </w:r>
      <w:r>
        <w:rPr>
          <w:b w:val="0"/>
          <w:color w:val="2E5395"/>
          <w:spacing w:val="-7"/>
        </w:rPr>
        <w:t> </w:t>
      </w:r>
      <w:r>
        <w:rPr>
          <w:b w:val="0"/>
          <w:color w:val="2E5395"/>
        </w:rPr>
        <w:t>I</w:t>
      </w:r>
      <w:r>
        <w:rPr>
          <w:b w:val="0"/>
          <w:color w:val="2E5395"/>
          <w:spacing w:val="-7"/>
        </w:rPr>
        <w:t> </w:t>
      </w:r>
      <w:r>
        <w:rPr>
          <w:b w:val="0"/>
          <w:color w:val="2E5395"/>
        </w:rPr>
        <w:t>–</w:t>
      </w:r>
      <w:r>
        <w:rPr>
          <w:b w:val="0"/>
          <w:color w:val="2E5395"/>
          <w:spacing w:val="-7"/>
        </w:rPr>
        <w:t> </w:t>
      </w:r>
      <w:r>
        <w:rPr>
          <w:b w:val="0"/>
          <w:color w:val="2E5395"/>
        </w:rPr>
        <w:t>How</w:t>
      </w:r>
      <w:r>
        <w:rPr>
          <w:b w:val="0"/>
          <w:color w:val="2E5395"/>
          <w:spacing w:val="-8"/>
        </w:rPr>
        <w:t> </w:t>
      </w:r>
      <w:r>
        <w:rPr>
          <w:b w:val="0"/>
          <w:color w:val="2E5395"/>
        </w:rPr>
        <w:t>to</w:t>
      </w:r>
      <w:r>
        <w:rPr>
          <w:b w:val="0"/>
          <w:color w:val="2E5395"/>
          <w:spacing w:val="-8"/>
        </w:rPr>
        <w:t> </w:t>
      </w:r>
      <w:r>
        <w:rPr>
          <w:b w:val="0"/>
          <w:color w:val="2E5395"/>
        </w:rPr>
        <w:t>Process</w:t>
      </w:r>
      <w:r>
        <w:rPr>
          <w:b w:val="0"/>
          <w:color w:val="2E5395"/>
          <w:spacing w:val="-7"/>
        </w:rPr>
        <w:t> </w:t>
      </w:r>
      <w:r>
        <w:rPr>
          <w:b w:val="0"/>
          <w:color w:val="2E5395"/>
        </w:rPr>
        <w:t>an</w:t>
      </w:r>
      <w:r>
        <w:rPr>
          <w:b w:val="0"/>
          <w:color w:val="2E5395"/>
          <w:spacing w:val="-8"/>
        </w:rPr>
        <w:t> </w:t>
      </w:r>
      <w:r>
        <w:rPr>
          <w:b w:val="0"/>
          <w:color w:val="2E5395"/>
        </w:rPr>
        <w:t>Over-Income</w:t>
      </w:r>
      <w:r>
        <w:rPr>
          <w:b w:val="0"/>
          <w:color w:val="2E5395"/>
          <w:spacing w:val="-7"/>
        </w:rPr>
        <w:t> </w:t>
      </w:r>
      <w:r>
        <w:rPr>
          <w:b w:val="0"/>
          <w:color w:val="2E5395"/>
          <w:spacing w:val="-2"/>
        </w:rPr>
        <w:t>Family</w:t>
      </w:r>
    </w:p>
    <w:p>
      <w:pPr>
        <w:pStyle w:val="BodyText"/>
        <w:spacing w:before="7"/>
        <w:rPr>
          <w:rFonts w:ascii="Calibri Light"/>
          <w:b w:val="0"/>
          <w:sz w:val="35"/>
        </w:rPr>
      </w:pPr>
    </w:p>
    <w:p>
      <w:pPr>
        <w:pStyle w:val="BodyText"/>
        <w:ind w:left="120"/>
      </w:pPr>
      <w:r>
        <w:rPr/>
        <w:t>DETERMINATION:</w:t>
      </w:r>
      <w:r>
        <w:rPr>
          <w:spacing w:val="-4"/>
        </w:rPr>
        <w:t> </w:t>
      </w:r>
      <w:r>
        <w:rPr/>
        <w:t>Determine</w:t>
      </w:r>
      <w:r>
        <w:rPr>
          <w:spacing w:val="-5"/>
        </w:rPr>
        <w:t> </w:t>
      </w:r>
      <w:r>
        <w:rPr/>
        <w:t>if</w:t>
      </w:r>
      <w:r>
        <w:rPr>
          <w:spacing w:val="-4"/>
        </w:rPr>
        <w:t> </w:t>
      </w:r>
      <w:r>
        <w:rPr/>
        <w:t>the</w:t>
      </w:r>
      <w:r>
        <w:rPr>
          <w:spacing w:val="-5"/>
        </w:rPr>
        <w:t> </w:t>
      </w:r>
      <w:r>
        <w:rPr/>
        <w:t>family’s</w:t>
      </w:r>
      <w:r>
        <w:rPr>
          <w:spacing w:val="-3"/>
        </w:rPr>
        <w:t> </w:t>
      </w:r>
      <w:r>
        <w:rPr/>
        <w:t>income</w:t>
      </w:r>
      <w:r>
        <w:rPr>
          <w:spacing w:val="-5"/>
        </w:rPr>
        <w:t> </w:t>
      </w:r>
      <w:r>
        <w:rPr/>
        <w:t>exceeds</w:t>
      </w:r>
      <w:r>
        <w:rPr>
          <w:spacing w:val="-3"/>
        </w:rPr>
        <w:t> </w:t>
      </w:r>
      <w:r>
        <w:rPr/>
        <w:t>the</w:t>
      </w:r>
      <w:r>
        <w:rPr>
          <w:spacing w:val="-5"/>
        </w:rPr>
        <w:t> </w:t>
      </w:r>
      <w:r>
        <w:rPr/>
        <w:t>Over-Income</w:t>
      </w:r>
      <w:r>
        <w:rPr>
          <w:spacing w:val="-5"/>
        </w:rPr>
        <w:t> </w:t>
      </w:r>
      <w:r>
        <w:rPr>
          <w:spacing w:val="-2"/>
        </w:rPr>
        <w:t>Limit.</w:t>
      </w:r>
    </w:p>
    <w:p>
      <w:pPr>
        <w:pStyle w:val="BodyText"/>
        <w:tabs>
          <w:tab w:pos="1559" w:val="left" w:leader="none"/>
        </w:tabs>
        <w:spacing w:line="259" w:lineRule="auto" w:before="182"/>
        <w:ind w:left="1560" w:right="1313" w:hanging="1440"/>
      </w:pPr>
      <w:r>
        <w:rPr/>
        <w:t>Step 1:</w:t>
        <w:tab/>
        <w:t>Go</w:t>
      </w:r>
      <w:r>
        <w:rPr>
          <w:spacing w:val="-6"/>
        </w:rPr>
        <w:t> </w:t>
      </w:r>
      <w:r>
        <w:rPr/>
        <w:t>to</w:t>
      </w:r>
      <w:r>
        <w:rPr>
          <w:spacing w:val="-6"/>
        </w:rPr>
        <w:t> </w:t>
      </w:r>
      <w:hyperlink r:id="rId10">
        <w:r>
          <w:rPr>
            <w:color w:val="0562C1"/>
            <w:u w:val="single" w:color="0562C1"/>
          </w:rPr>
          <w:t>https://www.huduser.gov/portal/datasets/il.html</w:t>
        </w:r>
      </w:hyperlink>
      <w:r>
        <w:rPr>
          <w:color w:val="0562C1"/>
          <w:spacing w:val="-6"/>
        </w:rPr>
        <w:t> </w:t>
      </w:r>
      <w:r>
        <w:rPr/>
        <w:t>and</w:t>
      </w:r>
      <w:r>
        <w:rPr>
          <w:spacing w:val="-6"/>
        </w:rPr>
        <w:t> </w:t>
      </w:r>
      <w:r>
        <w:rPr/>
        <w:t>follow</w:t>
      </w:r>
      <w:r>
        <w:rPr>
          <w:spacing w:val="-7"/>
        </w:rPr>
        <w:t> </w:t>
      </w:r>
      <w:r>
        <w:rPr/>
        <w:t>the</w:t>
      </w:r>
      <w:r>
        <w:rPr>
          <w:spacing w:val="-8"/>
        </w:rPr>
        <w:t> </w:t>
      </w:r>
      <w:r>
        <w:rPr/>
        <w:t>instructions in Appendix II to find the Very Low Income amount for families in your </w:t>
      </w:r>
      <w:r>
        <w:rPr>
          <w:spacing w:val="-2"/>
        </w:rPr>
        <w:t>jurisdiction.</w:t>
      </w:r>
    </w:p>
    <w:p>
      <w:pPr>
        <w:pStyle w:val="BodyText"/>
        <w:tabs>
          <w:tab w:pos="1559" w:val="left" w:leader="none"/>
        </w:tabs>
        <w:spacing w:line="398" w:lineRule="auto" w:before="159"/>
        <w:ind w:left="2280" w:right="2668" w:hanging="2160"/>
      </w:pPr>
      <w:r>
        <w:rPr/>
        <w:t>Step 2:</w:t>
        <w:tab/>
        <w:t>Use</w:t>
      </w:r>
      <w:r>
        <w:rPr>
          <w:spacing w:val="-6"/>
        </w:rPr>
        <w:t> </w:t>
      </w:r>
      <w:r>
        <w:rPr/>
        <w:t>the</w:t>
      </w:r>
      <w:r>
        <w:rPr>
          <w:spacing w:val="-6"/>
        </w:rPr>
        <w:t> </w:t>
      </w:r>
      <w:r>
        <w:rPr/>
        <w:t>following</w:t>
      </w:r>
      <w:r>
        <w:rPr>
          <w:spacing w:val="-5"/>
        </w:rPr>
        <w:t> </w:t>
      </w:r>
      <w:r>
        <w:rPr/>
        <w:t>calculation</w:t>
      </w:r>
      <w:r>
        <w:rPr>
          <w:spacing w:val="-5"/>
        </w:rPr>
        <w:t> </w:t>
      </w:r>
      <w:r>
        <w:rPr/>
        <w:t>to</w:t>
      </w:r>
      <w:r>
        <w:rPr>
          <w:spacing w:val="-5"/>
        </w:rPr>
        <w:t> </w:t>
      </w:r>
      <w:r>
        <w:rPr/>
        <w:t>determine</w:t>
      </w:r>
      <w:r>
        <w:rPr>
          <w:spacing w:val="-6"/>
        </w:rPr>
        <w:t> </w:t>
      </w:r>
      <w:r>
        <w:rPr/>
        <w:t>the</w:t>
      </w:r>
      <w:r>
        <w:rPr>
          <w:spacing w:val="-6"/>
        </w:rPr>
        <w:t> </w:t>
      </w:r>
      <w:r>
        <w:rPr/>
        <w:t>Over-Income</w:t>
      </w:r>
      <w:r>
        <w:rPr>
          <w:spacing w:val="-6"/>
        </w:rPr>
        <w:t> </w:t>
      </w:r>
      <w:r>
        <w:rPr/>
        <w:t>Limit: Very Low Income limit x 2.4 = Over-Income Limit</w:t>
      </w:r>
    </w:p>
    <w:p>
      <w:pPr>
        <w:pStyle w:val="BodyText"/>
        <w:tabs>
          <w:tab w:pos="1559" w:val="left" w:leader="none"/>
        </w:tabs>
        <w:spacing w:line="259" w:lineRule="auto" w:before="1"/>
        <w:ind w:left="1560" w:right="1441" w:hanging="1440"/>
      </w:pPr>
      <w:r>
        <w:rPr/>
        <w:t>Step 3:</w:t>
        <w:tab/>
        <w:t>If the family’s annual income is greater than the Over-Income Limit, then they exceed</w:t>
      </w:r>
      <w:r>
        <w:rPr>
          <w:spacing w:val="-3"/>
        </w:rPr>
        <w:t> </w:t>
      </w:r>
      <w:r>
        <w:rPr/>
        <w:t>the</w:t>
      </w:r>
      <w:r>
        <w:rPr>
          <w:spacing w:val="-5"/>
        </w:rPr>
        <w:t> </w:t>
      </w:r>
      <w:r>
        <w:rPr/>
        <w:t>Over-Income</w:t>
      </w:r>
      <w:r>
        <w:rPr>
          <w:spacing w:val="-2"/>
        </w:rPr>
        <w:t> </w:t>
      </w:r>
      <w:r>
        <w:rPr/>
        <w:t>Limit,</w:t>
      </w:r>
      <w:r>
        <w:rPr>
          <w:spacing w:val="-3"/>
        </w:rPr>
        <w:t> </w:t>
      </w:r>
      <w:r>
        <w:rPr/>
        <w:t>and</w:t>
      </w:r>
      <w:r>
        <w:rPr>
          <w:spacing w:val="-3"/>
        </w:rPr>
        <w:t> </w:t>
      </w:r>
      <w:r>
        <w:rPr/>
        <w:t>must</w:t>
      </w:r>
      <w:r>
        <w:rPr>
          <w:spacing w:val="-3"/>
        </w:rPr>
        <w:t> </w:t>
      </w:r>
      <w:r>
        <w:rPr/>
        <w:t>be</w:t>
      </w:r>
      <w:r>
        <w:rPr>
          <w:spacing w:val="-4"/>
        </w:rPr>
        <w:t> </w:t>
      </w:r>
      <w:r>
        <w:rPr/>
        <w:t>notified</w:t>
      </w:r>
      <w:r>
        <w:rPr>
          <w:spacing w:val="-3"/>
        </w:rPr>
        <w:t> </w:t>
      </w:r>
      <w:r>
        <w:rPr/>
        <w:t>up</w:t>
      </w:r>
      <w:r>
        <w:rPr>
          <w:spacing w:val="-3"/>
        </w:rPr>
        <w:t> </w:t>
      </w:r>
      <w:r>
        <w:rPr/>
        <w:t>to</w:t>
      </w:r>
      <w:r>
        <w:rPr>
          <w:spacing w:val="-3"/>
        </w:rPr>
        <w:t> </w:t>
      </w:r>
      <w:r>
        <w:rPr/>
        <w:t>a</w:t>
      </w:r>
      <w:r>
        <w:rPr>
          <w:spacing w:val="-4"/>
        </w:rPr>
        <w:t> </w:t>
      </w:r>
      <w:r>
        <w:rPr/>
        <w:t>total</w:t>
      </w:r>
      <w:r>
        <w:rPr>
          <w:spacing w:val="-3"/>
        </w:rPr>
        <w:t> </w:t>
      </w:r>
      <w:r>
        <w:rPr/>
        <w:t>of</w:t>
      </w:r>
      <w:r>
        <w:rPr>
          <w:spacing w:val="-4"/>
        </w:rPr>
        <w:t> </w:t>
      </w:r>
      <w:r>
        <w:rPr/>
        <w:t>three</w:t>
      </w:r>
      <w:r>
        <w:rPr>
          <w:spacing w:val="-4"/>
        </w:rPr>
        <w:t> </w:t>
      </w:r>
      <w:r>
        <w:rPr/>
        <w:t>times.</w:t>
      </w:r>
    </w:p>
    <w:p>
      <w:pPr>
        <w:pStyle w:val="BodyText"/>
        <w:spacing w:line="259" w:lineRule="auto" w:before="157"/>
        <w:ind w:left="1560" w:right="1482" w:hanging="1440"/>
      </w:pPr>
      <w:r>
        <w:rPr/>
        <w:t>NOTIFICATION:</w:t>
      </w:r>
      <w:r>
        <w:rPr>
          <w:spacing w:val="-3"/>
        </w:rPr>
        <w:t> </w:t>
      </w:r>
      <w:r>
        <w:rPr/>
        <w:t>Notify</w:t>
      </w:r>
      <w:r>
        <w:rPr>
          <w:spacing w:val="-3"/>
        </w:rPr>
        <w:t> </w:t>
      </w:r>
      <w:r>
        <w:rPr/>
        <w:t>the</w:t>
      </w:r>
      <w:r>
        <w:rPr>
          <w:spacing w:val="-4"/>
        </w:rPr>
        <w:t> </w:t>
      </w:r>
      <w:r>
        <w:rPr/>
        <w:t>family</w:t>
      </w:r>
      <w:r>
        <w:rPr>
          <w:spacing w:val="-3"/>
        </w:rPr>
        <w:t> </w:t>
      </w:r>
      <w:r>
        <w:rPr/>
        <w:t>up</w:t>
      </w:r>
      <w:r>
        <w:rPr>
          <w:spacing w:val="-3"/>
        </w:rPr>
        <w:t> </w:t>
      </w:r>
      <w:r>
        <w:rPr/>
        <w:t>to</w:t>
      </w:r>
      <w:r>
        <w:rPr>
          <w:spacing w:val="-3"/>
        </w:rPr>
        <w:t> </w:t>
      </w:r>
      <w:r>
        <w:rPr/>
        <w:t>a</w:t>
      </w:r>
      <w:r>
        <w:rPr>
          <w:spacing w:val="-5"/>
        </w:rPr>
        <w:t> </w:t>
      </w:r>
      <w:r>
        <w:rPr/>
        <w:t>total</w:t>
      </w:r>
      <w:r>
        <w:rPr>
          <w:spacing w:val="-3"/>
        </w:rPr>
        <w:t> </w:t>
      </w:r>
      <w:r>
        <w:rPr/>
        <w:t>of</w:t>
      </w:r>
      <w:r>
        <w:rPr>
          <w:spacing w:val="-4"/>
        </w:rPr>
        <w:t> </w:t>
      </w:r>
      <w:r>
        <w:rPr/>
        <w:t>3</w:t>
      </w:r>
      <w:r>
        <w:rPr>
          <w:spacing w:val="-3"/>
        </w:rPr>
        <w:t> </w:t>
      </w:r>
      <w:r>
        <w:rPr/>
        <w:t>times</w:t>
      </w:r>
      <w:r>
        <w:rPr>
          <w:spacing w:val="-3"/>
        </w:rPr>
        <w:t> </w:t>
      </w:r>
      <w:r>
        <w:rPr/>
        <w:t>that</w:t>
      </w:r>
      <w:r>
        <w:rPr>
          <w:spacing w:val="-3"/>
        </w:rPr>
        <w:t> </w:t>
      </w:r>
      <w:r>
        <w:rPr/>
        <w:t>they</w:t>
      </w:r>
      <w:r>
        <w:rPr>
          <w:spacing w:val="-3"/>
        </w:rPr>
        <w:t> </w:t>
      </w:r>
      <w:r>
        <w:rPr/>
        <w:t>have</w:t>
      </w:r>
      <w:r>
        <w:rPr>
          <w:spacing w:val="-4"/>
        </w:rPr>
        <w:t> </w:t>
      </w:r>
      <w:r>
        <w:rPr/>
        <w:t>exceeded</w:t>
      </w:r>
      <w:r>
        <w:rPr>
          <w:spacing w:val="-3"/>
        </w:rPr>
        <w:t> </w:t>
      </w:r>
      <w:r>
        <w:rPr/>
        <w:t>the</w:t>
      </w:r>
      <w:r>
        <w:rPr>
          <w:spacing w:val="-5"/>
        </w:rPr>
        <w:t> </w:t>
      </w:r>
      <w:r>
        <w:rPr/>
        <w:t>Over- Income Limit.</w:t>
      </w:r>
    </w:p>
    <w:p>
      <w:pPr>
        <w:pStyle w:val="BodyText"/>
        <w:tabs>
          <w:tab w:pos="1559" w:val="left" w:leader="none"/>
        </w:tabs>
        <w:spacing w:line="259" w:lineRule="auto" w:before="160"/>
        <w:ind w:left="1560" w:right="1758" w:hanging="1440"/>
      </w:pPr>
      <w:r>
        <w:rPr/>
        <w:t>Notice 1:</w:t>
        <w:tab/>
        <w:t>Provide</w:t>
      </w:r>
      <w:r>
        <w:rPr>
          <w:spacing w:val="-3"/>
        </w:rPr>
        <w:t> </w:t>
      </w:r>
      <w:r>
        <w:rPr/>
        <w:t>written</w:t>
      </w:r>
      <w:r>
        <w:rPr>
          <w:spacing w:val="-3"/>
        </w:rPr>
        <w:t> </w:t>
      </w:r>
      <w:r>
        <w:rPr/>
        <w:t>notice</w:t>
      </w:r>
      <w:r>
        <w:rPr>
          <w:spacing w:val="-4"/>
        </w:rPr>
        <w:t> </w:t>
      </w:r>
      <w:r>
        <w:rPr/>
        <w:t>to</w:t>
      </w:r>
      <w:r>
        <w:rPr>
          <w:spacing w:val="-1"/>
        </w:rPr>
        <w:t> </w:t>
      </w:r>
      <w:r>
        <w:rPr/>
        <w:t>the</w:t>
      </w:r>
      <w:r>
        <w:rPr>
          <w:spacing w:val="-3"/>
        </w:rPr>
        <w:t> </w:t>
      </w:r>
      <w:r>
        <w:rPr/>
        <w:t>OI</w:t>
      </w:r>
      <w:r>
        <w:rPr>
          <w:spacing w:val="-6"/>
        </w:rPr>
        <w:t> </w:t>
      </w:r>
      <w:r>
        <w:rPr/>
        <w:t>family</w:t>
      </w:r>
      <w:r>
        <w:rPr>
          <w:spacing w:val="-3"/>
        </w:rPr>
        <w:t> </w:t>
      </w:r>
      <w:r>
        <w:rPr>
          <w:u w:val="single"/>
        </w:rPr>
        <w:t>no</w:t>
      </w:r>
      <w:r>
        <w:rPr>
          <w:spacing w:val="-3"/>
          <w:u w:val="single"/>
        </w:rPr>
        <w:t> </w:t>
      </w:r>
      <w:r>
        <w:rPr>
          <w:u w:val="single"/>
        </w:rPr>
        <w:t>later</w:t>
      </w:r>
      <w:r>
        <w:rPr>
          <w:spacing w:val="-3"/>
          <w:u w:val="single"/>
        </w:rPr>
        <w:t> </w:t>
      </w:r>
      <w:r>
        <w:rPr>
          <w:u w:val="single"/>
        </w:rPr>
        <w:t>than</w:t>
      </w:r>
      <w:r>
        <w:rPr>
          <w:spacing w:val="-3"/>
          <w:u w:val="single"/>
        </w:rPr>
        <w:t> </w:t>
      </w:r>
      <w:r>
        <w:rPr>
          <w:u w:val="single"/>
        </w:rPr>
        <w:t>30</w:t>
      </w:r>
      <w:r>
        <w:rPr>
          <w:spacing w:val="-3"/>
          <w:u w:val="single"/>
        </w:rPr>
        <w:t> </w:t>
      </w:r>
      <w:r>
        <w:rPr>
          <w:u w:val="single"/>
        </w:rPr>
        <w:t>days</w:t>
      </w:r>
      <w:r>
        <w:rPr>
          <w:spacing w:val="-2"/>
        </w:rPr>
        <w:t> </w:t>
      </w:r>
      <w:r>
        <w:rPr/>
        <w:t>after</w:t>
      </w:r>
      <w:r>
        <w:rPr>
          <w:spacing w:val="-3"/>
        </w:rPr>
        <w:t> </w:t>
      </w:r>
      <w:r>
        <w:rPr/>
        <w:t>the</w:t>
      </w:r>
      <w:r>
        <w:rPr>
          <w:spacing w:val="-3"/>
        </w:rPr>
        <w:t> </w:t>
      </w:r>
      <w:r>
        <w:rPr/>
        <w:t>PHA’s determination, stating that the family has exceeded the over-income limit.</w:t>
      </w:r>
    </w:p>
    <w:p>
      <w:pPr>
        <w:pStyle w:val="BodyText"/>
        <w:tabs>
          <w:tab w:pos="1559" w:val="left" w:leader="none"/>
        </w:tabs>
        <w:spacing w:line="259" w:lineRule="auto" w:before="160"/>
        <w:ind w:left="1560" w:right="1279" w:hanging="1440"/>
      </w:pPr>
      <w:r>
        <w:rPr/>
        <w:t>Notice 2:</w:t>
        <w:tab/>
        <w:t>If the PHA determined that the family’s income has exceeded the over-income limit</w:t>
      </w:r>
      <w:r>
        <w:rPr>
          <w:spacing w:val="-3"/>
        </w:rPr>
        <w:t> </w:t>
      </w:r>
      <w:r>
        <w:rPr/>
        <w:t>for</w:t>
      </w:r>
      <w:r>
        <w:rPr>
          <w:spacing w:val="-4"/>
        </w:rPr>
        <w:t> </w:t>
      </w:r>
      <w:r>
        <w:rPr/>
        <w:t>12</w:t>
      </w:r>
      <w:r>
        <w:rPr>
          <w:spacing w:val="-3"/>
        </w:rPr>
        <w:t> </w:t>
      </w:r>
      <w:r>
        <w:rPr/>
        <w:t>consecutive</w:t>
      </w:r>
      <w:r>
        <w:rPr>
          <w:spacing w:val="-2"/>
        </w:rPr>
        <w:t> </w:t>
      </w:r>
      <w:r>
        <w:rPr/>
        <w:t>months,</w:t>
      </w:r>
      <w:r>
        <w:rPr>
          <w:spacing w:val="-3"/>
        </w:rPr>
        <w:t> </w:t>
      </w:r>
      <w:r>
        <w:rPr/>
        <w:t>the</w:t>
      </w:r>
      <w:r>
        <w:rPr>
          <w:spacing w:val="-5"/>
        </w:rPr>
        <w:t> </w:t>
      </w:r>
      <w:r>
        <w:rPr/>
        <w:t>OI</w:t>
      </w:r>
      <w:r>
        <w:rPr>
          <w:spacing w:val="-4"/>
        </w:rPr>
        <w:t> </w:t>
      </w:r>
      <w:r>
        <w:rPr/>
        <w:t>family</w:t>
      </w:r>
      <w:r>
        <w:rPr>
          <w:spacing w:val="-3"/>
        </w:rPr>
        <w:t> </w:t>
      </w:r>
      <w:r>
        <w:rPr/>
        <w:t>must</w:t>
      </w:r>
      <w:r>
        <w:rPr>
          <w:spacing w:val="-3"/>
        </w:rPr>
        <w:t> </w:t>
      </w:r>
      <w:r>
        <w:rPr/>
        <w:t>be</w:t>
      </w:r>
      <w:r>
        <w:rPr>
          <w:spacing w:val="-4"/>
        </w:rPr>
        <w:t> </w:t>
      </w:r>
      <w:r>
        <w:rPr/>
        <w:t>provided</w:t>
      </w:r>
      <w:r>
        <w:rPr>
          <w:spacing w:val="-3"/>
        </w:rPr>
        <w:t> </w:t>
      </w:r>
      <w:r>
        <w:rPr/>
        <w:t>written</w:t>
      </w:r>
      <w:r>
        <w:rPr>
          <w:spacing w:val="-3"/>
        </w:rPr>
        <w:t> </w:t>
      </w:r>
      <w:r>
        <w:rPr/>
        <w:t>notice</w:t>
      </w:r>
      <w:r>
        <w:rPr>
          <w:spacing w:val="-4"/>
        </w:rPr>
        <w:t> </w:t>
      </w:r>
      <w:r>
        <w:rPr/>
        <w:t>of this fact </w:t>
      </w:r>
      <w:r>
        <w:rPr>
          <w:u w:val="single"/>
        </w:rPr>
        <w:t>no later than 30 days</w:t>
      </w:r>
      <w:r>
        <w:rPr/>
        <w:t> after said determination.</w:t>
      </w:r>
    </w:p>
    <w:p>
      <w:pPr>
        <w:pStyle w:val="BodyText"/>
        <w:spacing w:line="259" w:lineRule="auto" w:before="160"/>
        <w:ind w:left="1560" w:right="1204"/>
      </w:pPr>
      <w:r>
        <w:rPr/>
        <w:t>This</w:t>
      </w:r>
      <w:r>
        <w:rPr>
          <w:spacing w:val="-3"/>
        </w:rPr>
        <w:t> </w:t>
      </w:r>
      <w:r>
        <w:rPr/>
        <w:t>notice</w:t>
      </w:r>
      <w:r>
        <w:rPr>
          <w:spacing w:val="-4"/>
        </w:rPr>
        <w:t> </w:t>
      </w:r>
      <w:r>
        <w:rPr/>
        <w:t>must</w:t>
      </w:r>
      <w:r>
        <w:rPr>
          <w:spacing w:val="-3"/>
        </w:rPr>
        <w:t> </w:t>
      </w:r>
      <w:r>
        <w:rPr/>
        <w:t>inform</w:t>
      </w:r>
      <w:r>
        <w:rPr>
          <w:spacing w:val="-3"/>
        </w:rPr>
        <w:t> </w:t>
      </w:r>
      <w:r>
        <w:rPr/>
        <w:t>the</w:t>
      </w:r>
      <w:r>
        <w:rPr>
          <w:spacing w:val="-4"/>
        </w:rPr>
        <w:t> </w:t>
      </w:r>
      <w:r>
        <w:rPr/>
        <w:t>OI</w:t>
      </w:r>
      <w:r>
        <w:rPr>
          <w:spacing w:val="-6"/>
        </w:rPr>
        <w:t> </w:t>
      </w:r>
      <w:r>
        <w:rPr/>
        <w:t>family</w:t>
      </w:r>
      <w:r>
        <w:rPr>
          <w:spacing w:val="-3"/>
        </w:rPr>
        <w:t> </w:t>
      </w:r>
      <w:r>
        <w:rPr/>
        <w:t>that</w:t>
      </w:r>
      <w:r>
        <w:rPr>
          <w:spacing w:val="-3"/>
        </w:rPr>
        <w:t> </w:t>
      </w:r>
      <w:r>
        <w:rPr/>
        <w:t>continuing</w:t>
      </w:r>
      <w:r>
        <w:rPr>
          <w:spacing w:val="-3"/>
        </w:rPr>
        <w:t> </w:t>
      </w:r>
      <w:r>
        <w:rPr/>
        <w:t>to</w:t>
      </w:r>
      <w:r>
        <w:rPr>
          <w:spacing w:val="-3"/>
        </w:rPr>
        <w:t> </w:t>
      </w:r>
      <w:r>
        <w:rPr/>
        <w:t>exceed</w:t>
      </w:r>
      <w:r>
        <w:rPr>
          <w:spacing w:val="-3"/>
        </w:rPr>
        <w:t> </w:t>
      </w:r>
      <w:r>
        <w:rPr/>
        <w:t>the</w:t>
      </w:r>
      <w:r>
        <w:rPr>
          <w:spacing w:val="-4"/>
        </w:rPr>
        <w:t> </w:t>
      </w:r>
      <w:r>
        <w:rPr/>
        <w:t>over-income limit for the next 12 consecutive months will result in the family:</w:t>
      </w:r>
    </w:p>
    <w:p>
      <w:pPr>
        <w:pStyle w:val="ListParagraph"/>
        <w:numPr>
          <w:ilvl w:val="1"/>
          <w:numId w:val="2"/>
        </w:numPr>
        <w:tabs>
          <w:tab w:pos="1920" w:val="left" w:leader="none"/>
        </w:tabs>
        <w:spacing w:line="259" w:lineRule="auto" w:before="160" w:after="0"/>
        <w:ind w:left="1920" w:right="1940" w:hanging="360"/>
        <w:jc w:val="left"/>
        <w:rPr>
          <w:sz w:val="24"/>
        </w:rPr>
      </w:pPr>
      <w:r>
        <w:rPr>
          <w:sz w:val="24"/>
        </w:rPr>
        <w:t>Paying</w:t>
      </w:r>
      <w:r>
        <w:rPr>
          <w:spacing w:val="-4"/>
          <w:sz w:val="24"/>
        </w:rPr>
        <w:t> </w:t>
      </w:r>
      <w:r>
        <w:rPr>
          <w:sz w:val="24"/>
        </w:rPr>
        <w:t>the</w:t>
      </w:r>
      <w:r>
        <w:rPr>
          <w:spacing w:val="-5"/>
          <w:sz w:val="24"/>
        </w:rPr>
        <w:t> </w:t>
      </w:r>
      <w:r>
        <w:rPr>
          <w:sz w:val="24"/>
        </w:rPr>
        <w:t>higher</w:t>
      </w:r>
      <w:r>
        <w:rPr>
          <w:spacing w:val="-5"/>
          <w:sz w:val="24"/>
        </w:rPr>
        <w:t> </w:t>
      </w:r>
      <w:r>
        <w:rPr>
          <w:sz w:val="24"/>
        </w:rPr>
        <w:t>alternative</w:t>
      </w:r>
      <w:r>
        <w:rPr>
          <w:spacing w:val="-5"/>
          <w:sz w:val="24"/>
        </w:rPr>
        <w:t> </w:t>
      </w:r>
      <w:r>
        <w:rPr>
          <w:sz w:val="24"/>
        </w:rPr>
        <w:t>rent</w:t>
      </w:r>
      <w:r>
        <w:rPr>
          <w:spacing w:val="-4"/>
          <w:sz w:val="24"/>
        </w:rPr>
        <w:t> </w:t>
      </w:r>
      <w:r>
        <w:rPr>
          <w:sz w:val="24"/>
        </w:rPr>
        <w:t>as</w:t>
      </w:r>
      <w:r>
        <w:rPr>
          <w:spacing w:val="-4"/>
          <w:sz w:val="24"/>
        </w:rPr>
        <w:t> </w:t>
      </w:r>
      <w:r>
        <w:rPr>
          <w:sz w:val="24"/>
        </w:rPr>
        <w:t>a</w:t>
      </w:r>
      <w:r>
        <w:rPr>
          <w:spacing w:val="-6"/>
          <w:sz w:val="24"/>
        </w:rPr>
        <w:t> </w:t>
      </w:r>
      <w:r>
        <w:rPr>
          <w:sz w:val="24"/>
        </w:rPr>
        <w:t>non-public</w:t>
      </w:r>
      <w:r>
        <w:rPr>
          <w:spacing w:val="-3"/>
          <w:sz w:val="24"/>
        </w:rPr>
        <w:t> </w:t>
      </w:r>
      <w:r>
        <w:rPr>
          <w:sz w:val="24"/>
        </w:rPr>
        <w:t>housing</w:t>
      </w:r>
      <w:r>
        <w:rPr>
          <w:spacing w:val="-4"/>
          <w:sz w:val="24"/>
        </w:rPr>
        <w:t> </w:t>
      </w:r>
      <w:r>
        <w:rPr>
          <w:sz w:val="24"/>
        </w:rPr>
        <w:t>over-income family; OR</w:t>
      </w:r>
    </w:p>
    <w:p>
      <w:pPr>
        <w:pStyle w:val="ListParagraph"/>
        <w:numPr>
          <w:ilvl w:val="1"/>
          <w:numId w:val="2"/>
        </w:numPr>
        <w:tabs>
          <w:tab w:pos="1920" w:val="left" w:leader="none"/>
        </w:tabs>
        <w:spacing w:line="275" w:lineRule="exact" w:before="0" w:after="0"/>
        <w:ind w:left="1920" w:right="0" w:hanging="360"/>
        <w:jc w:val="left"/>
        <w:rPr>
          <w:sz w:val="24"/>
        </w:rPr>
      </w:pPr>
      <w:r>
        <w:rPr>
          <w:sz w:val="24"/>
        </w:rPr>
        <w:t>Having</w:t>
      </w:r>
      <w:r>
        <w:rPr>
          <w:spacing w:val="-3"/>
          <w:sz w:val="24"/>
        </w:rPr>
        <w:t> </w:t>
      </w:r>
      <w:r>
        <w:rPr>
          <w:sz w:val="24"/>
        </w:rPr>
        <w:t>their</w:t>
      </w:r>
      <w:r>
        <w:rPr>
          <w:spacing w:val="-4"/>
          <w:sz w:val="24"/>
        </w:rPr>
        <w:t> </w:t>
      </w:r>
      <w:r>
        <w:rPr>
          <w:sz w:val="24"/>
        </w:rPr>
        <w:t>tenancy</w:t>
      </w:r>
      <w:r>
        <w:rPr>
          <w:spacing w:val="-2"/>
          <w:sz w:val="24"/>
        </w:rPr>
        <w:t> terminated.</w:t>
      </w:r>
    </w:p>
    <w:p>
      <w:pPr>
        <w:pStyle w:val="BodyText"/>
        <w:tabs>
          <w:tab w:pos="1559" w:val="left" w:leader="none"/>
        </w:tabs>
        <w:spacing w:line="259" w:lineRule="auto" w:before="182"/>
        <w:ind w:left="1560" w:right="1279" w:hanging="1440"/>
      </w:pPr>
      <w:r>
        <w:rPr/>
        <w:t>Notice 3:</w:t>
        <w:tab/>
        <w:t>If the PHA determined that the family’s income has exceeded the over-income limit</w:t>
      </w:r>
      <w:r>
        <w:rPr>
          <w:spacing w:val="-3"/>
        </w:rPr>
        <w:t> </w:t>
      </w:r>
      <w:r>
        <w:rPr/>
        <w:t>for</w:t>
      </w:r>
      <w:r>
        <w:rPr>
          <w:spacing w:val="-4"/>
        </w:rPr>
        <w:t> </w:t>
      </w:r>
      <w:r>
        <w:rPr/>
        <w:t>24</w:t>
      </w:r>
      <w:r>
        <w:rPr>
          <w:spacing w:val="-3"/>
        </w:rPr>
        <w:t> </w:t>
      </w:r>
      <w:r>
        <w:rPr/>
        <w:t>consecutive</w:t>
      </w:r>
      <w:r>
        <w:rPr>
          <w:spacing w:val="-2"/>
        </w:rPr>
        <w:t> </w:t>
      </w:r>
      <w:r>
        <w:rPr/>
        <w:t>months,</w:t>
      </w:r>
      <w:r>
        <w:rPr>
          <w:spacing w:val="-3"/>
        </w:rPr>
        <w:t> </w:t>
      </w:r>
      <w:r>
        <w:rPr/>
        <w:t>the</w:t>
      </w:r>
      <w:r>
        <w:rPr>
          <w:spacing w:val="-5"/>
        </w:rPr>
        <w:t> </w:t>
      </w:r>
      <w:r>
        <w:rPr/>
        <w:t>OI</w:t>
      </w:r>
      <w:r>
        <w:rPr>
          <w:spacing w:val="-4"/>
        </w:rPr>
        <w:t> </w:t>
      </w:r>
      <w:r>
        <w:rPr/>
        <w:t>family</w:t>
      </w:r>
      <w:r>
        <w:rPr>
          <w:spacing w:val="-3"/>
        </w:rPr>
        <w:t> </w:t>
      </w:r>
      <w:r>
        <w:rPr/>
        <w:t>must</w:t>
      </w:r>
      <w:r>
        <w:rPr>
          <w:spacing w:val="-3"/>
        </w:rPr>
        <w:t> </w:t>
      </w:r>
      <w:r>
        <w:rPr/>
        <w:t>be</w:t>
      </w:r>
      <w:r>
        <w:rPr>
          <w:spacing w:val="-4"/>
        </w:rPr>
        <w:t> </w:t>
      </w:r>
      <w:r>
        <w:rPr/>
        <w:t>provided</w:t>
      </w:r>
      <w:r>
        <w:rPr>
          <w:spacing w:val="-3"/>
        </w:rPr>
        <w:t> </w:t>
      </w:r>
      <w:r>
        <w:rPr/>
        <w:t>written</w:t>
      </w:r>
      <w:r>
        <w:rPr>
          <w:spacing w:val="-3"/>
        </w:rPr>
        <w:t> </w:t>
      </w:r>
      <w:r>
        <w:rPr/>
        <w:t>notice</w:t>
      </w:r>
      <w:r>
        <w:rPr>
          <w:spacing w:val="-4"/>
        </w:rPr>
        <w:t> </w:t>
      </w:r>
      <w:r>
        <w:rPr/>
        <w:t>of this fact </w:t>
      </w:r>
      <w:r>
        <w:rPr>
          <w:u w:val="single"/>
        </w:rPr>
        <w:t>no later than 30 days</w:t>
      </w:r>
      <w:r>
        <w:rPr/>
        <w:t> after said determination.</w:t>
      </w:r>
    </w:p>
    <w:p>
      <w:pPr>
        <w:pStyle w:val="BodyText"/>
        <w:spacing w:line="259" w:lineRule="auto" w:before="160"/>
        <w:ind w:left="1560" w:right="1354"/>
      </w:pPr>
      <w:r>
        <w:rPr/>
        <w:t>This notice must inform the OI family that, at next lease renewal or in no more than</w:t>
      </w:r>
      <w:r>
        <w:rPr>
          <w:spacing w:val="-3"/>
        </w:rPr>
        <w:t> </w:t>
      </w:r>
      <w:r>
        <w:rPr/>
        <w:t>60</w:t>
      </w:r>
      <w:r>
        <w:rPr>
          <w:spacing w:val="-3"/>
        </w:rPr>
        <w:t> </w:t>
      </w:r>
      <w:r>
        <w:rPr/>
        <w:t>days</w:t>
      </w:r>
      <w:r>
        <w:rPr>
          <w:spacing w:val="-3"/>
        </w:rPr>
        <w:t> </w:t>
      </w:r>
      <w:r>
        <w:rPr/>
        <w:t>after</w:t>
      </w:r>
      <w:r>
        <w:rPr>
          <w:spacing w:val="-4"/>
        </w:rPr>
        <w:t> </w:t>
      </w:r>
      <w:r>
        <w:rPr/>
        <w:t>the</w:t>
      </w:r>
      <w:r>
        <w:rPr>
          <w:spacing w:val="-5"/>
        </w:rPr>
        <w:t> </w:t>
      </w:r>
      <w:r>
        <w:rPr/>
        <w:t>date</w:t>
      </w:r>
      <w:r>
        <w:rPr>
          <w:spacing w:val="-5"/>
        </w:rPr>
        <w:t> </w:t>
      </w:r>
      <w:r>
        <w:rPr/>
        <w:t>the</w:t>
      </w:r>
      <w:r>
        <w:rPr>
          <w:spacing w:val="-5"/>
        </w:rPr>
        <w:t> </w:t>
      </w:r>
      <w:r>
        <w:rPr/>
        <w:t>final</w:t>
      </w:r>
      <w:r>
        <w:rPr>
          <w:spacing w:val="-3"/>
        </w:rPr>
        <w:t> </w:t>
      </w:r>
      <w:r>
        <w:rPr/>
        <w:t>notice</w:t>
      </w:r>
      <w:r>
        <w:rPr>
          <w:spacing w:val="-4"/>
        </w:rPr>
        <w:t> </w:t>
      </w:r>
      <w:r>
        <w:rPr/>
        <w:t>per</w:t>
      </w:r>
      <w:r>
        <w:rPr>
          <w:spacing w:val="-4"/>
        </w:rPr>
        <w:t> </w:t>
      </w:r>
      <w:r>
        <w:rPr/>
        <w:t>24</w:t>
      </w:r>
      <w:r>
        <w:rPr>
          <w:spacing w:val="-1"/>
        </w:rPr>
        <w:t> </w:t>
      </w:r>
      <w:r>
        <w:rPr/>
        <w:t>CFR</w:t>
      </w:r>
      <w:r>
        <w:rPr>
          <w:spacing w:val="-3"/>
        </w:rPr>
        <w:t> </w:t>
      </w:r>
      <w:r>
        <w:rPr/>
        <w:t>960.507(c)(3),</w:t>
      </w:r>
      <w:r>
        <w:rPr>
          <w:spacing w:val="-3"/>
        </w:rPr>
        <w:t> </w:t>
      </w:r>
      <w:r>
        <w:rPr/>
        <w:t>whichever is sooner, the family must:</w:t>
      </w:r>
    </w:p>
    <w:p>
      <w:pPr>
        <w:pStyle w:val="ListParagraph"/>
        <w:numPr>
          <w:ilvl w:val="0"/>
          <w:numId w:val="5"/>
        </w:numPr>
        <w:tabs>
          <w:tab w:pos="1920" w:val="left" w:leader="none"/>
        </w:tabs>
        <w:spacing w:line="259" w:lineRule="auto" w:before="159" w:after="0"/>
        <w:ind w:left="1920" w:right="1493" w:hanging="360"/>
        <w:jc w:val="left"/>
        <w:rPr>
          <w:sz w:val="24"/>
        </w:rPr>
      </w:pPr>
      <w:r>
        <w:rPr>
          <w:sz w:val="24"/>
        </w:rPr>
        <w:t>Pay</w:t>
      </w:r>
      <w:r>
        <w:rPr>
          <w:spacing w:val="-4"/>
          <w:sz w:val="24"/>
        </w:rPr>
        <w:t> </w:t>
      </w:r>
      <w:r>
        <w:rPr>
          <w:sz w:val="24"/>
        </w:rPr>
        <w:t>the</w:t>
      </w:r>
      <w:r>
        <w:rPr>
          <w:spacing w:val="-5"/>
          <w:sz w:val="24"/>
        </w:rPr>
        <w:t> </w:t>
      </w:r>
      <w:r>
        <w:rPr>
          <w:sz w:val="24"/>
        </w:rPr>
        <w:t>higher</w:t>
      </w:r>
      <w:r>
        <w:rPr>
          <w:spacing w:val="-5"/>
          <w:sz w:val="24"/>
        </w:rPr>
        <w:t> </w:t>
      </w:r>
      <w:r>
        <w:rPr>
          <w:sz w:val="24"/>
        </w:rPr>
        <w:t>alternative</w:t>
      </w:r>
      <w:r>
        <w:rPr>
          <w:spacing w:val="-6"/>
          <w:sz w:val="24"/>
        </w:rPr>
        <w:t> </w:t>
      </w:r>
      <w:r>
        <w:rPr>
          <w:sz w:val="24"/>
        </w:rPr>
        <w:t>rent</w:t>
      </w:r>
      <w:r>
        <w:rPr>
          <w:spacing w:val="-4"/>
          <w:sz w:val="24"/>
        </w:rPr>
        <w:t> </w:t>
      </w:r>
      <w:r>
        <w:rPr>
          <w:sz w:val="24"/>
        </w:rPr>
        <w:t>as</w:t>
      </w:r>
      <w:r>
        <w:rPr>
          <w:spacing w:val="-2"/>
          <w:sz w:val="24"/>
        </w:rPr>
        <w:t> </w:t>
      </w:r>
      <w:r>
        <w:rPr>
          <w:sz w:val="24"/>
        </w:rPr>
        <w:t>a</w:t>
      </w:r>
      <w:r>
        <w:rPr>
          <w:spacing w:val="-5"/>
          <w:sz w:val="24"/>
        </w:rPr>
        <w:t> </w:t>
      </w:r>
      <w:r>
        <w:rPr>
          <w:sz w:val="24"/>
        </w:rPr>
        <w:t>non-public</w:t>
      </w:r>
      <w:r>
        <w:rPr>
          <w:spacing w:val="-5"/>
          <w:sz w:val="24"/>
        </w:rPr>
        <w:t> </w:t>
      </w:r>
      <w:r>
        <w:rPr>
          <w:sz w:val="24"/>
        </w:rPr>
        <w:t>housing</w:t>
      </w:r>
      <w:r>
        <w:rPr>
          <w:spacing w:val="-4"/>
          <w:sz w:val="24"/>
        </w:rPr>
        <w:t> </w:t>
      </w:r>
      <w:r>
        <w:rPr>
          <w:sz w:val="24"/>
        </w:rPr>
        <w:t>over-income</w:t>
      </w:r>
      <w:r>
        <w:rPr>
          <w:spacing w:val="-5"/>
          <w:sz w:val="24"/>
        </w:rPr>
        <w:t> </w:t>
      </w:r>
      <w:r>
        <w:rPr>
          <w:sz w:val="24"/>
        </w:rPr>
        <w:t>family; </w:t>
      </w:r>
      <w:r>
        <w:rPr>
          <w:spacing w:val="-6"/>
          <w:sz w:val="24"/>
        </w:rPr>
        <w:t>OR</w:t>
      </w:r>
    </w:p>
    <w:p>
      <w:pPr>
        <w:pStyle w:val="ListParagraph"/>
        <w:numPr>
          <w:ilvl w:val="0"/>
          <w:numId w:val="5"/>
        </w:numPr>
        <w:tabs>
          <w:tab w:pos="1920" w:val="left" w:leader="none"/>
        </w:tabs>
        <w:spacing w:line="398" w:lineRule="auto" w:before="0" w:after="0"/>
        <w:ind w:left="120" w:right="2128" w:firstLine="1440"/>
        <w:jc w:val="left"/>
        <w:rPr>
          <w:sz w:val="24"/>
        </w:rPr>
      </w:pPr>
      <w:r>
        <w:rPr>
          <w:sz w:val="24"/>
        </w:rPr>
        <w:t>Be terminated from their unit in no more than 6 months. LIMITATION:</w:t>
      </w:r>
      <w:r>
        <w:rPr>
          <w:spacing w:val="-3"/>
          <w:sz w:val="24"/>
        </w:rPr>
        <w:t> </w:t>
      </w:r>
      <w:r>
        <w:rPr>
          <w:sz w:val="24"/>
        </w:rPr>
        <w:t>After</w:t>
      </w:r>
      <w:r>
        <w:rPr>
          <w:spacing w:val="-5"/>
          <w:sz w:val="24"/>
        </w:rPr>
        <w:t> </w:t>
      </w:r>
      <w:r>
        <w:rPr>
          <w:sz w:val="24"/>
        </w:rPr>
        <w:t>the</w:t>
      </w:r>
      <w:r>
        <w:rPr>
          <w:spacing w:val="-3"/>
          <w:sz w:val="24"/>
        </w:rPr>
        <w:t> </w:t>
      </w:r>
      <w:r>
        <w:rPr>
          <w:sz w:val="24"/>
        </w:rPr>
        <w:t>24</w:t>
      </w:r>
      <w:r>
        <w:rPr>
          <w:spacing w:val="-4"/>
          <w:sz w:val="24"/>
        </w:rPr>
        <w:t> </w:t>
      </w:r>
      <w:r>
        <w:rPr>
          <w:sz w:val="24"/>
        </w:rPr>
        <w:t>consecutive</w:t>
      </w:r>
      <w:r>
        <w:rPr>
          <w:spacing w:val="-5"/>
          <w:sz w:val="24"/>
        </w:rPr>
        <w:t> </w:t>
      </w:r>
      <w:r>
        <w:rPr>
          <w:sz w:val="24"/>
        </w:rPr>
        <w:t>month</w:t>
      </w:r>
      <w:r>
        <w:rPr>
          <w:spacing w:val="-4"/>
          <w:sz w:val="24"/>
        </w:rPr>
        <w:t> </w:t>
      </w:r>
      <w:r>
        <w:rPr>
          <w:sz w:val="24"/>
        </w:rPr>
        <w:t>grace</w:t>
      </w:r>
      <w:r>
        <w:rPr>
          <w:spacing w:val="-5"/>
          <w:sz w:val="24"/>
        </w:rPr>
        <w:t> </w:t>
      </w:r>
      <w:r>
        <w:rPr>
          <w:sz w:val="24"/>
        </w:rPr>
        <w:t>period</w:t>
      </w:r>
      <w:r>
        <w:rPr>
          <w:spacing w:val="-4"/>
          <w:sz w:val="24"/>
        </w:rPr>
        <w:t> </w:t>
      </w:r>
      <w:r>
        <w:rPr>
          <w:sz w:val="24"/>
        </w:rPr>
        <w:t>take</w:t>
      </w:r>
      <w:r>
        <w:rPr>
          <w:spacing w:val="-5"/>
          <w:sz w:val="24"/>
        </w:rPr>
        <w:t> </w:t>
      </w:r>
      <w:r>
        <w:rPr>
          <w:sz w:val="24"/>
        </w:rPr>
        <w:t>the</w:t>
      </w:r>
      <w:r>
        <w:rPr>
          <w:spacing w:val="-3"/>
          <w:sz w:val="24"/>
        </w:rPr>
        <w:t> </w:t>
      </w:r>
      <w:r>
        <w:rPr>
          <w:sz w:val="24"/>
        </w:rPr>
        <w:t>following</w:t>
      </w:r>
      <w:r>
        <w:rPr>
          <w:spacing w:val="-3"/>
          <w:sz w:val="24"/>
        </w:rPr>
        <w:t> </w:t>
      </w:r>
      <w:r>
        <w:rPr>
          <w:sz w:val="24"/>
        </w:rPr>
        <w:t>actions:</w:t>
      </w:r>
    </w:p>
    <w:p>
      <w:pPr>
        <w:pStyle w:val="ListParagraph"/>
        <w:numPr>
          <w:ilvl w:val="0"/>
          <w:numId w:val="6"/>
        </w:numPr>
        <w:tabs>
          <w:tab w:pos="1200" w:val="left" w:leader="none"/>
        </w:tabs>
        <w:spacing w:line="261" w:lineRule="auto" w:before="0" w:after="0"/>
        <w:ind w:left="1200" w:right="1341" w:hanging="360"/>
        <w:jc w:val="left"/>
        <w:rPr>
          <w:sz w:val="24"/>
        </w:rPr>
      </w:pPr>
      <w:r>
        <w:rPr>
          <w:sz w:val="24"/>
        </w:rPr>
        <w:t>Charge</w:t>
      </w:r>
      <w:r>
        <w:rPr>
          <w:spacing w:val="-4"/>
          <w:sz w:val="24"/>
        </w:rPr>
        <w:t> </w:t>
      </w:r>
      <w:r>
        <w:rPr>
          <w:sz w:val="24"/>
        </w:rPr>
        <w:t>as</w:t>
      </w:r>
      <w:r>
        <w:rPr>
          <w:spacing w:val="-2"/>
          <w:sz w:val="24"/>
        </w:rPr>
        <w:t> </w:t>
      </w:r>
      <w:r>
        <w:rPr>
          <w:sz w:val="24"/>
        </w:rPr>
        <w:t>the</w:t>
      </w:r>
      <w:r>
        <w:rPr>
          <w:spacing w:val="-1"/>
          <w:sz w:val="24"/>
        </w:rPr>
        <w:t> </w:t>
      </w:r>
      <w:r>
        <w:rPr>
          <w:sz w:val="24"/>
        </w:rPr>
        <w:t>alternative</w:t>
      </w:r>
      <w:r>
        <w:rPr>
          <w:spacing w:val="-1"/>
          <w:sz w:val="24"/>
        </w:rPr>
        <w:t> </w:t>
      </w:r>
      <w:r>
        <w:rPr>
          <w:sz w:val="24"/>
        </w:rPr>
        <w:t>rent</w:t>
      </w:r>
      <w:r>
        <w:rPr>
          <w:spacing w:val="-2"/>
          <w:sz w:val="24"/>
        </w:rPr>
        <w:t> </w:t>
      </w:r>
      <w:r>
        <w:rPr>
          <w:sz w:val="24"/>
        </w:rPr>
        <w:t>for</w:t>
      </w:r>
      <w:r>
        <w:rPr>
          <w:spacing w:val="-3"/>
          <w:sz w:val="24"/>
        </w:rPr>
        <w:t> </w:t>
      </w:r>
      <w:r>
        <w:rPr>
          <w:sz w:val="24"/>
        </w:rPr>
        <w:t>the</w:t>
      </w:r>
      <w:r>
        <w:rPr>
          <w:spacing w:val="-4"/>
          <w:sz w:val="24"/>
        </w:rPr>
        <w:t> </w:t>
      </w:r>
      <w:r>
        <w:rPr>
          <w:sz w:val="24"/>
        </w:rPr>
        <w:t>unit</w:t>
      </w:r>
      <w:r>
        <w:rPr>
          <w:spacing w:val="-2"/>
          <w:sz w:val="24"/>
        </w:rPr>
        <w:t> </w:t>
      </w:r>
      <w:r>
        <w:rPr>
          <w:sz w:val="24"/>
        </w:rPr>
        <w:t>occupied</w:t>
      </w:r>
      <w:r>
        <w:rPr>
          <w:spacing w:val="-1"/>
          <w:sz w:val="24"/>
        </w:rPr>
        <w:t> </w:t>
      </w:r>
      <w:r>
        <w:rPr>
          <w:sz w:val="24"/>
        </w:rPr>
        <w:t>by</w:t>
      </w:r>
      <w:r>
        <w:rPr>
          <w:spacing w:val="-2"/>
          <w:sz w:val="24"/>
        </w:rPr>
        <w:t> </w:t>
      </w:r>
      <w:r>
        <w:rPr>
          <w:sz w:val="24"/>
        </w:rPr>
        <w:t>the</w:t>
      </w:r>
      <w:r>
        <w:rPr>
          <w:spacing w:val="-4"/>
          <w:sz w:val="24"/>
        </w:rPr>
        <w:t> </w:t>
      </w:r>
      <w:r>
        <w:rPr>
          <w:sz w:val="24"/>
        </w:rPr>
        <w:t>NPHOI</w:t>
      </w:r>
      <w:r>
        <w:rPr>
          <w:spacing w:val="-7"/>
          <w:sz w:val="24"/>
        </w:rPr>
        <w:t> </w:t>
      </w:r>
      <w:r>
        <w:rPr>
          <w:sz w:val="24"/>
        </w:rPr>
        <w:t>family,</w:t>
      </w:r>
      <w:r>
        <w:rPr>
          <w:spacing w:val="-3"/>
          <w:sz w:val="24"/>
        </w:rPr>
        <w:t> </w:t>
      </w:r>
      <w:r>
        <w:rPr>
          <w:sz w:val="24"/>
        </w:rPr>
        <w:t>the</w:t>
      </w:r>
      <w:r>
        <w:rPr>
          <w:spacing w:val="-5"/>
          <w:sz w:val="24"/>
        </w:rPr>
        <w:t> </w:t>
      </w:r>
      <w:r>
        <w:rPr>
          <w:sz w:val="24"/>
        </w:rPr>
        <w:t>greater </w:t>
      </w:r>
      <w:r>
        <w:rPr>
          <w:spacing w:val="-4"/>
          <w:sz w:val="24"/>
        </w:rPr>
        <w:t>of:</w:t>
      </w:r>
    </w:p>
    <w:p>
      <w:pPr>
        <w:spacing w:after="0" w:line="261" w:lineRule="auto"/>
        <w:jc w:val="left"/>
        <w:rPr>
          <w:sz w:val="24"/>
        </w:rPr>
        <w:sectPr>
          <w:pgSz w:w="12240" w:h="15840"/>
          <w:pgMar w:header="0" w:footer="1033" w:top="1420" w:bottom="1220" w:left="1320" w:right="240"/>
        </w:sectPr>
      </w:pPr>
    </w:p>
    <w:p>
      <w:pPr>
        <w:pStyle w:val="ListParagraph"/>
        <w:numPr>
          <w:ilvl w:val="1"/>
          <w:numId w:val="6"/>
        </w:numPr>
        <w:tabs>
          <w:tab w:pos="1920" w:val="left" w:leader="none"/>
        </w:tabs>
        <w:spacing w:line="259" w:lineRule="auto" w:before="79" w:after="0"/>
        <w:ind w:left="1920" w:right="1427" w:hanging="360"/>
        <w:jc w:val="left"/>
        <w:rPr>
          <w:sz w:val="24"/>
        </w:rPr>
      </w:pPr>
      <w:r>
        <w:rPr>
          <w:sz w:val="24"/>
        </w:rPr>
        <w:t>The</w:t>
      </w:r>
      <w:r>
        <w:rPr>
          <w:spacing w:val="-5"/>
          <w:sz w:val="24"/>
        </w:rPr>
        <w:t> </w:t>
      </w:r>
      <w:r>
        <w:rPr>
          <w:sz w:val="24"/>
        </w:rPr>
        <w:t>applicable</w:t>
      </w:r>
      <w:r>
        <w:rPr>
          <w:spacing w:val="-1"/>
          <w:sz w:val="24"/>
        </w:rPr>
        <w:t> </w:t>
      </w:r>
      <w:r>
        <w:rPr>
          <w:sz w:val="24"/>
        </w:rPr>
        <w:t>FMR</w:t>
      </w:r>
      <w:r>
        <w:rPr>
          <w:spacing w:val="-2"/>
          <w:sz w:val="24"/>
        </w:rPr>
        <w:t> </w:t>
      </w:r>
      <w:r>
        <w:rPr>
          <w:sz w:val="24"/>
        </w:rPr>
        <w:t>for</w:t>
      </w:r>
      <w:r>
        <w:rPr>
          <w:spacing w:val="-2"/>
          <w:sz w:val="24"/>
        </w:rPr>
        <w:t> </w:t>
      </w:r>
      <w:r>
        <w:rPr>
          <w:sz w:val="24"/>
        </w:rPr>
        <w:t>a</w:t>
      </w:r>
      <w:r>
        <w:rPr>
          <w:spacing w:val="-5"/>
          <w:sz w:val="24"/>
        </w:rPr>
        <w:t> </w:t>
      </w:r>
      <w:r>
        <w:rPr>
          <w:sz w:val="24"/>
        </w:rPr>
        <w:t>dwelling</w:t>
      </w:r>
      <w:r>
        <w:rPr>
          <w:spacing w:val="-3"/>
          <w:sz w:val="24"/>
        </w:rPr>
        <w:t> </w:t>
      </w:r>
      <w:r>
        <w:rPr>
          <w:sz w:val="24"/>
        </w:rPr>
        <w:t>unit</w:t>
      </w:r>
      <w:r>
        <w:rPr>
          <w:spacing w:val="-3"/>
          <w:sz w:val="24"/>
        </w:rPr>
        <w:t> </w:t>
      </w:r>
      <w:r>
        <w:rPr>
          <w:sz w:val="24"/>
        </w:rPr>
        <w:t>in</w:t>
      </w:r>
      <w:r>
        <w:rPr>
          <w:spacing w:val="-3"/>
          <w:sz w:val="24"/>
        </w:rPr>
        <w:t> </w:t>
      </w:r>
      <w:r>
        <w:rPr>
          <w:sz w:val="24"/>
        </w:rPr>
        <w:t>the</w:t>
      </w:r>
      <w:r>
        <w:rPr>
          <w:spacing w:val="-4"/>
          <w:sz w:val="24"/>
        </w:rPr>
        <w:t> </w:t>
      </w:r>
      <w:r>
        <w:rPr>
          <w:sz w:val="24"/>
        </w:rPr>
        <w:t>same</w:t>
      </w:r>
      <w:r>
        <w:rPr>
          <w:spacing w:val="-5"/>
          <w:sz w:val="24"/>
        </w:rPr>
        <w:t> </w:t>
      </w:r>
      <w:r>
        <w:rPr>
          <w:sz w:val="24"/>
        </w:rPr>
        <w:t>market</w:t>
      </w:r>
      <w:r>
        <w:rPr>
          <w:spacing w:val="-3"/>
          <w:sz w:val="24"/>
        </w:rPr>
        <w:t> </w:t>
      </w:r>
      <w:r>
        <w:rPr>
          <w:sz w:val="24"/>
        </w:rPr>
        <w:t>area</w:t>
      </w:r>
      <w:r>
        <w:rPr>
          <w:spacing w:val="-5"/>
          <w:sz w:val="24"/>
        </w:rPr>
        <w:t> </w:t>
      </w:r>
      <w:r>
        <w:rPr>
          <w:sz w:val="24"/>
        </w:rPr>
        <w:t>of</w:t>
      </w:r>
      <w:r>
        <w:rPr>
          <w:spacing w:val="-4"/>
          <w:sz w:val="24"/>
        </w:rPr>
        <w:t> </w:t>
      </w:r>
      <w:r>
        <w:rPr>
          <w:sz w:val="24"/>
        </w:rPr>
        <w:t>the</w:t>
      </w:r>
      <w:r>
        <w:rPr>
          <w:spacing w:val="-4"/>
          <w:sz w:val="24"/>
        </w:rPr>
        <w:t> </w:t>
      </w:r>
      <w:r>
        <w:rPr>
          <w:sz w:val="24"/>
        </w:rPr>
        <w:t>same size; or</w:t>
      </w:r>
    </w:p>
    <w:p>
      <w:pPr>
        <w:pStyle w:val="ListParagraph"/>
        <w:numPr>
          <w:ilvl w:val="1"/>
          <w:numId w:val="6"/>
        </w:numPr>
        <w:tabs>
          <w:tab w:pos="1920" w:val="left" w:leader="none"/>
        </w:tabs>
        <w:spacing w:line="259" w:lineRule="auto" w:before="0" w:after="0"/>
        <w:ind w:left="1920" w:right="1249" w:hanging="360"/>
        <w:jc w:val="left"/>
        <w:rPr>
          <w:sz w:val="24"/>
        </w:rPr>
      </w:pPr>
      <w:r>
        <w:rPr>
          <w:sz w:val="24"/>
        </w:rPr>
        <w:t>The</w:t>
      </w:r>
      <w:r>
        <w:rPr>
          <w:spacing w:val="-5"/>
          <w:sz w:val="24"/>
        </w:rPr>
        <w:t> </w:t>
      </w:r>
      <w:r>
        <w:rPr>
          <w:sz w:val="24"/>
        </w:rPr>
        <w:t>amount</w:t>
      </w:r>
      <w:r>
        <w:rPr>
          <w:spacing w:val="-3"/>
          <w:sz w:val="24"/>
        </w:rPr>
        <w:t> </w:t>
      </w:r>
      <w:r>
        <w:rPr>
          <w:sz w:val="24"/>
        </w:rPr>
        <w:t>of</w:t>
      </w:r>
      <w:r>
        <w:rPr>
          <w:spacing w:val="-4"/>
          <w:sz w:val="24"/>
        </w:rPr>
        <w:t> </w:t>
      </w:r>
      <w:r>
        <w:rPr>
          <w:sz w:val="24"/>
        </w:rPr>
        <w:t>the</w:t>
      </w:r>
      <w:r>
        <w:rPr>
          <w:spacing w:val="-5"/>
          <w:sz w:val="24"/>
        </w:rPr>
        <w:t> </w:t>
      </w:r>
      <w:r>
        <w:rPr>
          <w:sz w:val="24"/>
        </w:rPr>
        <w:t>monthly</w:t>
      </w:r>
      <w:r>
        <w:rPr>
          <w:spacing w:val="-3"/>
          <w:sz w:val="24"/>
        </w:rPr>
        <w:t> </w:t>
      </w:r>
      <w:r>
        <w:rPr>
          <w:sz w:val="24"/>
        </w:rPr>
        <w:t>subsidy</w:t>
      </w:r>
      <w:r>
        <w:rPr>
          <w:spacing w:val="-3"/>
          <w:sz w:val="24"/>
        </w:rPr>
        <w:t> </w:t>
      </w:r>
      <w:r>
        <w:rPr>
          <w:sz w:val="24"/>
        </w:rPr>
        <w:t>which</w:t>
      </w:r>
      <w:r>
        <w:rPr>
          <w:spacing w:val="-3"/>
          <w:sz w:val="24"/>
        </w:rPr>
        <w:t> </w:t>
      </w:r>
      <w:r>
        <w:rPr>
          <w:sz w:val="24"/>
        </w:rPr>
        <w:t>shall</w:t>
      </w:r>
      <w:r>
        <w:rPr>
          <w:spacing w:val="-3"/>
          <w:sz w:val="24"/>
        </w:rPr>
        <w:t> </w:t>
      </w:r>
      <w:r>
        <w:rPr>
          <w:sz w:val="24"/>
        </w:rPr>
        <w:t>include</w:t>
      </w:r>
      <w:r>
        <w:rPr>
          <w:spacing w:val="-4"/>
          <w:sz w:val="24"/>
        </w:rPr>
        <w:t> </w:t>
      </w:r>
      <w:r>
        <w:rPr>
          <w:sz w:val="24"/>
        </w:rPr>
        <w:t>any</w:t>
      </w:r>
      <w:r>
        <w:rPr>
          <w:spacing w:val="-3"/>
          <w:sz w:val="24"/>
        </w:rPr>
        <w:t> </w:t>
      </w:r>
      <w:r>
        <w:rPr>
          <w:sz w:val="24"/>
        </w:rPr>
        <w:t>amounts</w:t>
      </w:r>
      <w:r>
        <w:rPr>
          <w:spacing w:val="-3"/>
          <w:sz w:val="24"/>
        </w:rPr>
        <w:t> </w:t>
      </w:r>
      <w:r>
        <w:rPr>
          <w:sz w:val="24"/>
        </w:rPr>
        <w:t>from</w:t>
      </w:r>
      <w:r>
        <w:rPr>
          <w:spacing w:val="-3"/>
          <w:sz w:val="24"/>
        </w:rPr>
        <w:t> </w:t>
      </w:r>
      <w:r>
        <w:rPr>
          <w:sz w:val="24"/>
        </w:rPr>
        <w:t>the Operating Fund and Capital Fund under section 9 used for the unit.</w:t>
      </w:r>
    </w:p>
    <w:p>
      <w:pPr>
        <w:pStyle w:val="BodyText"/>
        <w:spacing w:before="159"/>
        <w:ind w:left="120"/>
      </w:pPr>
      <w:r>
        <w:rPr>
          <w:spacing w:val="-5"/>
        </w:rPr>
        <w:t>OR</w:t>
      </w:r>
    </w:p>
    <w:p>
      <w:pPr>
        <w:pStyle w:val="ListParagraph"/>
        <w:numPr>
          <w:ilvl w:val="0"/>
          <w:numId w:val="6"/>
        </w:numPr>
        <w:tabs>
          <w:tab w:pos="1200" w:val="left" w:leader="none"/>
        </w:tabs>
        <w:spacing w:line="259" w:lineRule="auto" w:before="182" w:after="0"/>
        <w:ind w:left="1200" w:right="1224" w:hanging="360"/>
        <w:jc w:val="left"/>
        <w:rPr>
          <w:sz w:val="24"/>
        </w:rPr>
      </w:pPr>
      <w:r>
        <w:rPr>
          <w:sz w:val="24"/>
        </w:rPr>
        <w:t>Terminate</w:t>
      </w:r>
      <w:r>
        <w:rPr>
          <w:spacing w:val="-4"/>
          <w:sz w:val="24"/>
        </w:rPr>
        <w:t> </w:t>
      </w:r>
      <w:r>
        <w:rPr>
          <w:sz w:val="24"/>
        </w:rPr>
        <w:t>the</w:t>
      </w:r>
      <w:r>
        <w:rPr>
          <w:spacing w:val="-3"/>
          <w:sz w:val="24"/>
        </w:rPr>
        <w:t> </w:t>
      </w:r>
      <w:r>
        <w:rPr>
          <w:sz w:val="24"/>
        </w:rPr>
        <w:t>tenancy</w:t>
      </w:r>
      <w:r>
        <w:rPr>
          <w:spacing w:val="-2"/>
          <w:sz w:val="24"/>
        </w:rPr>
        <w:t> </w:t>
      </w:r>
      <w:r>
        <w:rPr>
          <w:sz w:val="24"/>
        </w:rPr>
        <w:t>of</w:t>
      </w:r>
      <w:r>
        <w:rPr>
          <w:spacing w:val="-1"/>
          <w:sz w:val="24"/>
        </w:rPr>
        <w:t> </w:t>
      </w:r>
      <w:r>
        <w:rPr>
          <w:sz w:val="24"/>
        </w:rPr>
        <w:t>OI</w:t>
      </w:r>
      <w:r>
        <w:rPr>
          <w:spacing w:val="-7"/>
          <w:sz w:val="24"/>
        </w:rPr>
        <w:t> </w:t>
      </w:r>
      <w:r>
        <w:rPr>
          <w:sz w:val="24"/>
        </w:rPr>
        <w:t>family</w:t>
      </w:r>
      <w:r>
        <w:rPr>
          <w:spacing w:val="-3"/>
          <w:sz w:val="24"/>
        </w:rPr>
        <w:t> </w:t>
      </w:r>
      <w:r>
        <w:rPr>
          <w:sz w:val="24"/>
        </w:rPr>
        <w:t>in</w:t>
      </w:r>
      <w:r>
        <w:rPr>
          <w:spacing w:val="-3"/>
          <w:sz w:val="24"/>
        </w:rPr>
        <w:t> </w:t>
      </w:r>
      <w:r>
        <w:rPr>
          <w:sz w:val="24"/>
        </w:rPr>
        <w:t>public</w:t>
      </w:r>
      <w:r>
        <w:rPr>
          <w:spacing w:val="-4"/>
          <w:sz w:val="24"/>
        </w:rPr>
        <w:t> </w:t>
      </w:r>
      <w:r>
        <w:rPr>
          <w:sz w:val="24"/>
        </w:rPr>
        <w:t>housing</w:t>
      </w:r>
      <w:r>
        <w:rPr>
          <w:spacing w:val="-3"/>
          <w:sz w:val="24"/>
        </w:rPr>
        <w:t> </w:t>
      </w:r>
      <w:r>
        <w:rPr>
          <w:sz w:val="24"/>
        </w:rPr>
        <w:t>not</w:t>
      </w:r>
      <w:r>
        <w:rPr>
          <w:spacing w:val="-3"/>
          <w:sz w:val="24"/>
        </w:rPr>
        <w:t> </w:t>
      </w:r>
      <w:r>
        <w:rPr>
          <w:sz w:val="24"/>
        </w:rPr>
        <w:t>later</w:t>
      </w:r>
      <w:r>
        <w:rPr>
          <w:spacing w:val="-4"/>
          <w:sz w:val="24"/>
        </w:rPr>
        <w:t> </w:t>
      </w:r>
      <w:r>
        <w:rPr>
          <w:sz w:val="24"/>
        </w:rPr>
        <w:t>than</w:t>
      </w:r>
      <w:r>
        <w:rPr>
          <w:spacing w:val="-3"/>
          <w:sz w:val="24"/>
        </w:rPr>
        <w:t> </w:t>
      </w:r>
      <w:r>
        <w:rPr>
          <w:sz w:val="24"/>
        </w:rPr>
        <w:t>6</w:t>
      </w:r>
      <w:r>
        <w:rPr>
          <w:spacing w:val="-3"/>
          <w:sz w:val="24"/>
        </w:rPr>
        <w:t> </w:t>
      </w:r>
      <w:r>
        <w:rPr>
          <w:sz w:val="24"/>
        </w:rPr>
        <w:t>months</w:t>
      </w:r>
      <w:r>
        <w:rPr>
          <w:spacing w:val="-2"/>
          <w:sz w:val="24"/>
        </w:rPr>
        <w:t> </w:t>
      </w:r>
      <w:r>
        <w:rPr>
          <w:sz w:val="24"/>
        </w:rPr>
        <w:t>after</w:t>
      </w:r>
      <w:r>
        <w:rPr>
          <w:spacing w:val="-3"/>
          <w:sz w:val="24"/>
        </w:rPr>
        <w:t> </w:t>
      </w:r>
      <w:r>
        <w:rPr>
          <w:sz w:val="24"/>
        </w:rPr>
        <w:t>the income determination confirming that the family has been over-income for 24 consecutive months.</w:t>
      </w:r>
    </w:p>
    <w:p>
      <w:pPr>
        <w:pStyle w:val="ListParagraph"/>
        <w:numPr>
          <w:ilvl w:val="1"/>
          <w:numId w:val="6"/>
        </w:numPr>
        <w:tabs>
          <w:tab w:pos="1920" w:val="left" w:leader="none"/>
        </w:tabs>
        <w:spacing w:line="259" w:lineRule="auto" w:before="0" w:after="0"/>
        <w:ind w:left="1920" w:right="1322" w:hanging="360"/>
        <w:jc w:val="left"/>
        <w:rPr>
          <w:color w:val="333333"/>
          <w:sz w:val="24"/>
        </w:rPr>
      </w:pPr>
      <w:r>
        <w:rPr>
          <w:sz w:val="24"/>
        </w:rPr>
        <w:t>Lease</w:t>
      </w:r>
      <w:r>
        <w:rPr>
          <w:spacing w:val="-5"/>
          <w:sz w:val="24"/>
        </w:rPr>
        <w:t> </w:t>
      </w:r>
      <w:r>
        <w:rPr>
          <w:sz w:val="24"/>
        </w:rPr>
        <w:t>to</w:t>
      </w:r>
      <w:r>
        <w:rPr>
          <w:spacing w:val="-4"/>
          <w:sz w:val="24"/>
        </w:rPr>
        <w:t> </w:t>
      </w:r>
      <w:r>
        <w:rPr>
          <w:sz w:val="24"/>
        </w:rPr>
        <w:t>convert</w:t>
      </w:r>
      <w:r>
        <w:rPr>
          <w:spacing w:val="-4"/>
          <w:sz w:val="24"/>
        </w:rPr>
        <w:t> </w:t>
      </w:r>
      <w:r>
        <w:rPr>
          <w:sz w:val="24"/>
        </w:rPr>
        <w:t>to</w:t>
      </w:r>
      <w:r>
        <w:rPr>
          <w:spacing w:val="-4"/>
          <w:sz w:val="24"/>
        </w:rPr>
        <w:t> </w:t>
      </w:r>
      <w:r>
        <w:rPr>
          <w:sz w:val="24"/>
        </w:rPr>
        <w:t>month-to-month</w:t>
      </w:r>
      <w:r>
        <w:rPr>
          <w:spacing w:val="-4"/>
          <w:sz w:val="24"/>
        </w:rPr>
        <w:t> </w:t>
      </w:r>
      <w:r>
        <w:rPr>
          <w:sz w:val="24"/>
        </w:rPr>
        <w:t>term</w:t>
      </w:r>
      <w:r>
        <w:rPr>
          <w:spacing w:val="-4"/>
          <w:sz w:val="24"/>
        </w:rPr>
        <w:t> </w:t>
      </w:r>
      <w:r>
        <w:rPr>
          <w:sz w:val="24"/>
        </w:rPr>
        <w:t>and</w:t>
      </w:r>
      <w:r>
        <w:rPr>
          <w:spacing w:val="-4"/>
          <w:sz w:val="24"/>
        </w:rPr>
        <w:t> </w:t>
      </w:r>
      <w:r>
        <w:rPr>
          <w:sz w:val="24"/>
        </w:rPr>
        <w:t>P</w:t>
      </w:r>
      <w:r>
        <w:rPr>
          <w:color w:val="333333"/>
          <w:sz w:val="24"/>
        </w:rPr>
        <w:t>HAs</w:t>
      </w:r>
      <w:r>
        <w:rPr>
          <w:color w:val="333333"/>
          <w:spacing w:val="-4"/>
          <w:sz w:val="24"/>
        </w:rPr>
        <w:t> </w:t>
      </w:r>
      <w:r>
        <w:rPr>
          <w:color w:val="333333"/>
          <w:sz w:val="24"/>
        </w:rPr>
        <w:t>must</w:t>
      </w:r>
      <w:r>
        <w:rPr>
          <w:color w:val="333333"/>
          <w:spacing w:val="-4"/>
          <w:sz w:val="24"/>
        </w:rPr>
        <w:t> </w:t>
      </w:r>
      <w:r>
        <w:rPr>
          <w:color w:val="333333"/>
          <w:sz w:val="24"/>
        </w:rPr>
        <w:t>charge</w:t>
      </w:r>
      <w:r>
        <w:rPr>
          <w:color w:val="333333"/>
          <w:spacing w:val="-6"/>
          <w:sz w:val="24"/>
        </w:rPr>
        <w:t> </w:t>
      </w:r>
      <w:r>
        <w:rPr>
          <w:color w:val="333333"/>
          <w:sz w:val="24"/>
        </w:rPr>
        <w:t>OI</w:t>
      </w:r>
      <w:r>
        <w:rPr>
          <w:color w:val="333333"/>
          <w:spacing w:val="-5"/>
          <w:sz w:val="24"/>
        </w:rPr>
        <w:t> </w:t>
      </w:r>
      <w:r>
        <w:rPr>
          <w:color w:val="333333"/>
          <w:sz w:val="24"/>
        </w:rPr>
        <w:t>families, who continue to be public housing program participants, the family’s choice of income-based, flat rent, or prorated rent for mixed families during the period before termination.</w:t>
      </w:r>
    </w:p>
    <w:p>
      <w:pPr>
        <w:spacing w:after="0" w:line="259" w:lineRule="auto"/>
        <w:jc w:val="left"/>
        <w:rPr>
          <w:sz w:val="24"/>
        </w:rPr>
        <w:sectPr>
          <w:pgSz w:w="12240" w:h="15840"/>
          <w:pgMar w:header="0" w:footer="1033" w:top="1360" w:bottom="1220" w:left="1320" w:right="240"/>
        </w:sectPr>
      </w:pPr>
    </w:p>
    <w:p>
      <w:pPr>
        <w:pStyle w:val="Heading1"/>
        <w:ind w:left="1747"/>
        <w:rPr>
          <w:b w:val="0"/>
        </w:rPr>
      </w:pPr>
      <w:bookmarkStart w:name="Appendix II – Calculating the Over-Incom" w:id="67"/>
      <w:bookmarkEnd w:id="67"/>
      <w:r>
        <w:rPr/>
      </w:r>
      <w:bookmarkStart w:name="_bookmark48" w:id="68"/>
      <w:bookmarkEnd w:id="68"/>
      <w:r>
        <w:rPr/>
      </w:r>
      <w:r>
        <w:rPr>
          <w:b w:val="0"/>
          <w:color w:val="2E5395"/>
        </w:rPr>
        <w:t>Appendix</w:t>
      </w:r>
      <w:r>
        <w:rPr>
          <w:b w:val="0"/>
          <w:color w:val="2E5395"/>
          <w:spacing w:val="-9"/>
        </w:rPr>
        <w:t> </w:t>
      </w:r>
      <w:r>
        <w:rPr>
          <w:b w:val="0"/>
          <w:color w:val="2E5395"/>
        </w:rPr>
        <w:t>II</w:t>
      </w:r>
      <w:r>
        <w:rPr>
          <w:b w:val="0"/>
          <w:color w:val="2E5395"/>
          <w:spacing w:val="-9"/>
        </w:rPr>
        <w:t> </w:t>
      </w:r>
      <w:r>
        <w:rPr>
          <w:b w:val="0"/>
          <w:color w:val="2E5395"/>
        </w:rPr>
        <w:t>–</w:t>
      </w:r>
      <w:r>
        <w:rPr>
          <w:b w:val="0"/>
          <w:color w:val="2E5395"/>
          <w:spacing w:val="-10"/>
        </w:rPr>
        <w:t> </w:t>
      </w:r>
      <w:r>
        <w:rPr>
          <w:b w:val="0"/>
          <w:color w:val="2E5395"/>
        </w:rPr>
        <w:t>Calculating</w:t>
      </w:r>
      <w:r>
        <w:rPr>
          <w:b w:val="0"/>
          <w:color w:val="2E5395"/>
          <w:spacing w:val="-10"/>
        </w:rPr>
        <w:t> </w:t>
      </w:r>
      <w:r>
        <w:rPr>
          <w:b w:val="0"/>
          <w:color w:val="2E5395"/>
        </w:rPr>
        <w:t>the</w:t>
      </w:r>
      <w:r>
        <w:rPr>
          <w:b w:val="0"/>
          <w:color w:val="2E5395"/>
          <w:spacing w:val="-7"/>
        </w:rPr>
        <w:t> </w:t>
      </w:r>
      <w:r>
        <w:rPr>
          <w:b w:val="0"/>
          <w:color w:val="2E5395"/>
        </w:rPr>
        <w:t>Over-Income</w:t>
      </w:r>
      <w:r>
        <w:rPr>
          <w:b w:val="0"/>
          <w:color w:val="2E5395"/>
          <w:spacing w:val="-10"/>
        </w:rPr>
        <w:t> </w:t>
      </w:r>
      <w:r>
        <w:rPr>
          <w:b w:val="0"/>
          <w:color w:val="2E5395"/>
          <w:spacing w:val="-2"/>
        </w:rPr>
        <w:t>Limit</w:t>
      </w:r>
    </w:p>
    <w:p>
      <w:pPr>
        <w:pStyle w:val="BodyText"/>
        <w:spacing w:before="10"/>
        <w:rPr>
          <w:rFonts w:ascii="Calibri Light"/>
          <w:b w:val="0"/>
          <w:sz w:val="39"/>
        </w:rPr>
      </w:pPr>
    </w:p>
    <w:p>
      <w:pPr>
        <w:pStyle w:val="BodyText"/>
        <w:spacing w:before="1"/>
        <w:ind w:left="120" w:right="1295"/>
      </w:pPr>
      <w:r>
        <w:rPr/>
        <w:t>Here are instructions on how to find the very low-income (VLI) limit for your jurisdiction and compute the over-income limit of a family while also providing illustrative</w:t>
      </w:r>
      <w:r>
        <w:rPr>
          <w:spacing w:val="-1"/>
        </w:rPr>
        <w:t> </w:t>
      </w:r>
      <w:r>
        <w:rPr/>
        <w:t>examples related to adjustments. HUD’s income limits (IL) were developed by HUD’s Office of Policy Development</w:t>
      </w:r>
      <w:r>
        <w:rPr>
          <w:spacing w:val="-2"/>
        </w:rPr>
        <w:t> </w:t>
      </w:r>
      <w:r>
        <w:rPr/>
        <w:t>and</w:t>
      </w:r>
      <w:r>
        <w:rPr>
          <w:spacing w:val="-2"/>
        </w:rPr>
        <w:t> </w:t>
      </w:r>
      <w:r>
        <w:rPr/>
        <w:t>Research</w:t>
      </w:r>
      <w:r>
        <w:rPr>
          <w:spacing w:val="-2"/>
        </w:rPr>
        <w:t> </w:t>
      </w:r>
      <w:r>
        <w:rPr/>
        <w:t>and</w:t>
      </w:r>
      <w:r>
        <w:rPr>
          <w:spacing w:val="-2"/>
        </w:rPr>
        <w:t> </w:t>
      </w:r>
      <w:r>
        <w:rPr/>
        <w:t>are</w:t>
      </w:r>
      <w:r>
        <w:rPr>
          <w:spacing w:val="-3"/>
        </w:rPr>
        <w:t> </w:t>
      </w:r>
      <w:r>
        <w:rPr/>
        <w:t>updated annually.</w:t>
      </w:r>
      <w:r>
        <w:rPr>
          <w:spacing w:val="40"/>
        </w:rPr>
        <w:t> </w:t>
      </w:r>
      <w:r>
        <w:rPr/>
        <w:t>Information</w:t>
      </w:r>
      <w:r>
        <w:rPr>
          <w:spacing w:val="-2"/>
        </w:rPr>
        <w:t> </w:t>
      </w:r>
      <w:r>
        <w:rPr/>
        <w:t>about</w:t>
      </w:r>
      <w:r>
        <w:rPr>
          <w:spacing w:val="-2"/>
        </w:rPr>
        <w:t> </w:t>
      </w:r>
      <w:r>
        <w:rPr/>
        <w:t>HUD’s</w:t>
      </w:r>
      <w:r>
        <w:rPr>
          <w:spacing w:val="-2"/>
        </w:rPr>
        <w:t> </w:t>
      </w:r>
      <w:r>
        <w:rPr/>
        <w:t>income</w:t>
      </w:r>
      <w:r>
        <w:rPr>
          <w:spacing w:val="-4"/>
        </w:rPr>
        <w:t> </w:t>
      </w:r>
      <w:r>
        <w:rPr/>
        <w:t>limits and</w:t>
      </w:r>
      <w:r>
        <w:rPr>
          <w:spacing w:val="-3"/>
        </w:rPr>
        <w:t> </w:t>
      </w:r>
      <w:r>
        <w:rPr/>
        <w:t>HUD’s</w:t>
      </w:r>
      <w:r>
        <w:rPr>
          <w:spacing w:val="-3"/>
        </w:rPr>
        <w:t> </w:t>
      </w:r>
      <w:r>
        <w:rPr/>
        <w:t>methodology</w:t>
      </w:r>
      <w:r>
        <w:rPr>
          <w:spacing w:val="-1"/>
        </w:rPr>
        <w:t> </w:t>
      </w:r>
      <w:r>
        <w:rPr/>
        <w:t>for</w:t>
      </w:r>
      <w:r>
        <w:rPr>
          <w:spacing w:val="-4"/>
        </w:rPr>
        <w:t> </w:t>
      </w:r>
      <w:r>
        <w:rPr/>
        <w:t>adjusting</w:t>
      </w:r>
      <w:r>
        <w:rPr>
          <w:spacing w:val="-3"/>
        </w:rPr>
        <w:t> </w:t>
      </w:r>
      <w:r>
        <w:rPr/>
        <w:t>income</w:t>
      </w:r>
      <w:r>
        <w:rPr>
          <w:spacing w:val="-5"/>
        </w:rPr>
        <w:t> </w:t>
      </w:r>
      <w:r>
        <w:rPr/>
        <w:t>limits</w:t>
      </w:r>
      <w:r>
        <w:rPr>
          <w:spacing w:val="-3"/>
        </w:rPr>
        <w:t> </w:t>
      </w:r>
      <w:r>
        <w:rPr/>
        <w:t>as</w:t>
      </w:r>
      <w:r>
        <w:rPr>
          <w:spacing w:val="-3"/>
        </w:rPr>
        <w:t> </w:t>
      </w:r>
      <w:r>
        <w:rPr/>
        <w:t>part</w:t>
      </w:r>
      <w:r>
        <w:rPr>
          <w:spacing w:val="-3"/>
        </w:rPr>
        <w:t> </w:t>
      </w:r>
      <w:r>
        <w:rPr/>
        <w:t>of</w:t>
      </w:r>
      <w:r>
        <w:rPr>
          <w:spacing w:val="-4"/>
        </w:rPr>
        <w:t> </w:t>
      </w:r>
      <w:r>
        <w:rPr/>
        <w:t>the</w:t>
      </w:r>
      <w:r>
        <w:rPr>
          <w:spacing w:val="-5"/>
        </w:rPr>
        <w:t> </w:t>
      </w:r>
      <w:r>
        <w:rPr/>
        <w:t>income</w:t>
      </w:r>
      <w:r>
        <w:rPr>
          <w:spacing w:val="-4"/>
        </w:rPr>
        <w:t> </w:t>
      </w:r>
      <w:r>
        <w:rPr/>
        <w:t>limit</w:t>
      </w:r>
      <w:r>
        <w:rPr>
          <w:spacing w:val="-3"/>
        </w:rPr>
        <w:t> </w:t>
      </w:r>
      <w:r>
        <w:rPr/>
        <w:t>calculation</w:t>
      </w:r>
      <w:r>
        <w:rPr>
          <w:spacing w:val="-3"/>
        </w:rPr>
        <w:t> </w:t>
      </w:r>
      <w:r>
        <w:rPr/>
        <w:t>can be found at: </w:t>
      </w:r>
      <w:hyperlink r:id="rId10">
        <w:r>
          <w:rPr>
            <w:u w:val="single"/>
          </w:rPr>
          <w:t>https://www.huduser.gov/portal/datasets/il.html</w:t>
        </w:r>
      </w:hyperlink>
      <w:r>
        <w:rPr/>
        <w:t>.</w:t>
      </w:r>
    </w:p>
    <w:p>
      <w:pPr>
        <w:pStyle w:val="BodyText"/>
        <w:spacing w:before="1"/>
        <w:rPr>
          <w:sz w:val="22"/>
        </w:rPr>
      </w:pPr>
    </w:p>
    <w:p>
      <w:pPr>
        <w:pStyle w:val="BodyText"/>
        <w:ind w:left="120" w:right="1482"/>
      </w:pPr>
      <w:r>
        <w:rPr>
          <w:b/>
          <w:u w:val="single"/>
        </w:rPr>
        <w:t>Step</w:t>
      </w:r>
      <w:r>
        <w:rPr>
          <w:b/>
          <w:spacing w:val="-3"/>
          <w:u w:val="single"/>
        </w:rPr>
        <w:t> </w:t>
      </w:r>
      <w:r>
        <w:rPr>
          <w:b/>
          <w:u w:val="single"/>
        </w:rPr>
        <w:t>1</w:t>
      </w:r>
      <w:r>
        <w:rPr>
          <w:b/>
        </w:rPr>
        <w:t>:</w:t>
      </w:r>
      <w:r>
        <w:rPr>
          <w:b/>
          <w:spacing w:val="40"/>
        </w:rPr>
        <w:t> </w:t>
      </w:r>
      <w:r>
        <w:rPr>
          <w:b/>
        </w:rPr>
        <w:t>Landing</w:t>
      </w:r>
      <w:r>
        <w:rPr>
          <w:b/>
          <w:spacing w:val="-3"/>
        </w:rPr>
        <w:t> </w:t>
      </w:r>
      <w:r>
        <w:rPr>
          <w:b/>
        </w:rPr>
        <w:t>Page</w:t>
      </w:r>
      <w:r>
        <w:rPr>
          <w:b/>
          <w:spacing w:val="-3"/>
        </w:rPr>
        <w:t> </w:t>
      </w:r>
      <w:r>
        <w:rPr/>
        <w:t>–</w:t>
      </w:r>
      <w:r>
        <w:rPr>
          <w:spacing w:val="-5"/>
        </w:rPr>
        <w:t> </w:t>
      </w:r>
      <w:r>
        <w:rPr/>
        <w:t>By</w:t>
      </w:r>
      <w:r>
        <w:rPr>
          <w:spacing w:val="-3"/>
        </w:rPr>
        <w:t> </w:t>
      </w:r>
      <w:r>
        <w:rPr/>
        <w:t>clicking</w:t>
      </w:r>
      <w:r>
        <w:rPr>
          <w:spacing w:val="-3"/>
        </w:rPr>
        <w:t> </w:t>
      </w:r>
      <w:r>
        <w:rPr/>
        <w:t>the</w:t>
      </w:r>
      <w:r>
        <w:rPr>
          <w:spacing w:val="-3"/>
        </w:rPr>
        <w:t> </w:t>
      </w:r>
      <w:r>
        <w:rPr/>
        <w:t>link</w:t>
      </w:r>
      <w:r>
        <w:rPr>
          <w:spacing w:val="-3"/>
        </w:rPr>
        <w:t> </w:t>
      </w:r>
      <w:r>
        <w:rPr/>
        <w:t>above,</w:t>
      </w:r>
      <w:r>
        <w:rPr>
          <w:spacing w:val="-3"/>
        </w:rPr>
        <w:t> </w:t>
      </w:r>
      <w:r>
        <w:rPr/>
        <w:t>the</w:t>
      </w:r>
      <w:r>
        <w:rPr>
          <w:spacing w:val="-3"/>
        </w:rPr>
        <w:t> </w:t>
      </w:r>
      <w:r>
        <w:rPr/>
        <w:t>landing</w:t>
      </w:r>
      <w:r>
        <w:rPr>
          <w:spacing w:val="-3"/>
        </w:rPr>
        <w:t> </w:t>
      </w:r>
      <w:r>
        <w:rPr/>
        <w:t>page</w:t>
      </w:r>
      <w:r>
        <w:rPr>
          <w:spacing w:val="-3"/>
        </w:rPr>
        <w:t> </w:t>
      </w:r>
      <w:r>
        <w:rPr/>
        <w:t>pictured</w:t>
      </w:r>
      <w:r>
        <w:rPr>
          <w:spacing w:val="-3"/>
        </w:rPr>
        <w:t> </w:t>
      </w:r>
      <w:r>
        <w:rPr/>
        <w:t>below</w:t>
      </w:r>
      <w:r>
        <w:rPr>
          <w:spacing w:val="-3"/>
        </w:rPr>
        <w:t> </w:t>
      </w:r>
      <w:r>
        <w:rPr/>
        <w:t>will populate. Then select the button titled ‘Click Here for FY20XX IL Documentation’.</w:t>
      </w:r>
    </w:p>
    <w:p>
      <w:pPr>
        <w:pStyle w:val="BodyText"/>
        <w:spacing w:before="9"/>
        <w:rPr>
          <w:sz w:val="22"/>
        </w:rPr>
      </w:pPr>
      <w:r>
        <w:rPr/>
        <w:pict>
          <v:group style="position:absolute;margin-left:72.714897pt;margin-top:14.350489pt;width:504.6pt;height:298.8pt;mso-position-horizontal-relative:page;mso-position-vertical-relative:paragraph;z-index:-15721472;mso-wrap-distance-left:0;mso-wrap-distance-right:0" id="docshapegroup17" coordorigin="1454,287" coordsize="10092,5976">
            <v:shape style="position:absolute;left:1468;top:303;width:9351;height:5889" type="#_x0000_t75" id="docshape18" alt="Screenshot of PD&amp;R webpage for Income Limits " stroked="false">
              <v:imagedata r:id="rId19" o:title=""/>
            </v:shape>
            <v:rect style="position:absolute;left:1461;top:294;width:9365;height:5962" id="docshape19" filled="false" stroked="true" strokeweight=".71pt" strokecolor="#000000">
              <v:stroke dashstyle="solid"/>
            </v:rect>
            <v:rect style="position:absolute;left:9386;top:3776;width:2151;height:900" id="docshape20" filled="true" fillcolor="#aeabab" stroked="false">
              <v:fill type="solid"/>
            </v:rect>
            <v:rect style="position:absolute;left:9386;top:3776;width:2151;height:900" id="docshape21" filled="false" stroked="true" strokeweight=".96pt" strokecolor="#000000">
              <v:stroke dashstyle="solid"/>
            </v:rect>
            <v:shape style="position:absolute;left:6343;top:3846;width:2813;height:2007" id="docshape22" coordorigin="6343,3846" coordsize="2813,2007" path="m9156,3846l8628,3846,6343,5853e" filled="false" stroked="true" strokeweight=".96pt" strokecolor="#000000">
              <v:path arrowok="t"/>
              <v:stroke dashstyle="solid"/>
            </v:shape>
            <v:shape style="position:absolute;left:9578;top:3955;width:1806;height:440" type="#_x0000_t202" id="docshape23" filled="false" stroked="false">
              <v:textbox inset="0,0,0,0">
                <w:txbxContent>
                  <w:p>
                    <w:pPr>
                      <w:spacing w:line="439" w:lineRule="exact" w:before="0"/>
                      <w:ind w:left="0" w:right="0" w:firstLine="0"/>
                      <w:jc w:val="left"/>
                      <w:rPr>
                        <w:rFonts w:ascii="Calibri"/>
                        <w:sz w:val="44"/>
                      </w:rPr>
                    </w:pPr>
                    <w:r>
                      <w:rPr>
                        <w:rFonts w:ascii="Calibri"/>
                        <w:sz w:val="44"/>
                      </w:rPr>
                      <w:t>Click</w:t>
                    </w:r>
                    <w:r>
                      <w:rPr>
                        <w:rFonts w:ascii="Calibri"/>
                        <w:spacing w:val="-13"/>
                        <w:sz w:val="44"/>
                      </w:rPr>
                      <w:t> </w:t>
                    </w:r>
                    <w:r>
                      <w:rPr>
                        <w:rFonts w:ascii="Calibri"/>
                        <w:spacing w:val="-4"/>
                        <w:sz w:val="44"/>
                      </w:rPr>
                      <w:t>Here</w:t>
                    </w:r>
                  </w:p>
                </w:txbxContent>
              </v:textbox>
              <w10:wrap type="none"/>
            </v:shape>
            <w10:wrap type="topAndBottom"/>
          </v:group>
        </w:pict>
      </w:r>
    </w:p>
    <w:p>
      <w:pPr>
        <w:spacing w:after="0"/>
        <w:rPr>
          <w:sz w:val="22"/>
        </w:rPr>
        <w:sectPr>
          <w:pgSz w:w="12240" w:h="15840"/>
          <w:pgMar w:header="0" w:footer="1033" w:top="1420" w:bottom="1220" w:left="1320" w:right="240"/>
        </w:sectPr>
      </w:pPr>
    </w:p>
    <w:p>
      <w:pPr>
        <w:pStyle w:val="BodyText"/>
        <w:spacing w:line="259" w:lineRule="auto" w:before="79"/>
        <w:ind w:left="120" w:right="1482"/>
      </w:pPr>
      <w:r>
        <w:rPr>
          <w:b/>
          <w:u w:val="single"/>
        </w:rPr>
        <w:t>Step</w:t>
      </w:r>
      <w:r>
        <w:rPr>
          <w:b/>
          <w:spacing w:val="-2"/>
          <w:u w:val="single"/>
        </w:rPr>
        <w:t> </w:t>
      </w:r>
      <w:r>
        <w:rPr>
          <w:b/>
          <w:u w:val="single"/>
        </w:rPr>
        <w:t>2</w:t>
      </w:r>
      <w:r>
        <w:rPr>
          <w:b/>
        </w:rPr>
        <w:t>:</w:t>
      </w:r>
      <w:r>
        <w:rPr>
          <w:b/>
          <w:spacing w:val="40"/>
        </w:rPr>
        <w:t> </w:t>
      </w:r>
      <w:r>
        <w:rPr>
          <w:b/>
        </w:rPr>
        <w:t>Select</w:t>
      </w:r>
      <w:r>
        <w:rPr>
          <w:b/>
          <w:spacing w:val="-3"/>
        </w:rPr>
        <w:t> </w:t>
      </w:r>
      <w:r>
        <w:rPr>
          <w:b/>
        </w:rPr>
        <w:t>a</w:t>
      </w:r>
      <w:r>
        <w:rPr>
          <w:b/>
          <w:spacing w:val="-2"/>
        </w:rPr>
        <w:t> </w:t>
      </w:r>
      <w:r>
        <w:rPr>
          <w:b/>
        </w:rPr>
        <w:t>State</w:t>
      </w:r>
      <w:r>
        <w:rPr>
          <w:b/>
          <w:spacing w:val="-4"/>
        </w:rPr>
        <w:t> </w:t>
      </w:r>
      <w:r>
        <w:rPr/>
        <w:t>–</w:t>
      </w:r>
      <w:r>
        <w:rPr>
          <w:spacing w:val="-1"/>
        </w:rPr>
        <w:t> </w:t>
      </w:r>
      <w:r>
        <w:rPr/>
        <w:t>Scroll</w:t>
      </w:r>
      <w:r>
        <w:rPr>
          <w:spacing w:val="-2"/>
        </w:rPr>
        <w:t> </w:t>
      </w:r>
      <w:r>
        <w:rPr/>
        <w:t>down</w:t>
      </w:r>
      <w:r>
        <w:rPr>
          <w:spacing w:val="-2"/>
        </w:rPr>
        <w:t> </w:t>
      </w:r>
      <w:r>
        <w:rPr/>
        <w:t>the</w:t>
      </w:r>
      <w:r>
        <w:rPr>
          <w:spacing w:val="-3"/>
        </w:rPr>
        <w:t> </w:t>
      </w:r>
      <w:r>
        <w:rPr/>
        <w:t>list</w:t>
      </w:r>
      <w:r>
        <w:rPr>
          <w:spacing w:val="-2"/>
        </w:rPr>
        <w:t> </w:t>
      </w:r>
      <w:r>
        <w:rPr/>
        <w:t>on</w:t>
      </w:r>
      <w:r>
        <w:rPr>
          <w:spacing w:val="-2"/>
        </w:rPr>
        <w:t> </w:t>
      </w:r>
      <w:r>
        <w:rPr/>
        <w:t>the</w:t>
      </w:r>
      <w:r>
        <w:rPr>
          <w:spacing w:val="-3"/>
        </w:rPr>
        <w:t> </w:t>
      </w:r>
      <w:r>
        <w:rPr/>
        <w:t>left</w:t>
      </w:r>
      <w:r>
        <w:rPr>
          <w:spacing w:val="-2"/>
        </w:rPr>
        <w:t> </w:t>
      </w:r>
      <w:r>
        <w:rPr/>
        <w:t>and</w:t>
      </w:r>
      <w:r>
        <w:rPr>
          <w:spacing w:val="-2"/>
        </w:rPr>
        <w:t> </w:t>
      </w:r>
      <w:r>
        <w:rPr/>
        <w:t>select</w:t>
      </w:r>
      <w:r>
        <w:rPr>
          <w:spacing w:val="-2"/>
        </w:rPr>
        <w:t> </w:t>
      </w:r>
      <w:r>
        <w:rPr/>
        <w:t>the</w:t>
      </w:r>
      <w:r>
        <w:rPr>
          <w:spacing w:val="-3"/>
        </w:rPr>
        <w:t> </w:t>
      </w:r>
      <w:r>
        <w:rPr/>
        <w:t>applicable</w:t>
      </w:r>
      <w:r>
        <w:rPr>
          <w:spacing w:val="-3"/>
        </w:rPr>
        <w:t> </w:t>
      </w:r>
      <w:r>
        <w:rPr/>
        <w:t>state.</w:t>
      </w:r>
      <w:r>
        <w:rPr>
          <w:spacing w:val="40"/>
        </w:rPr>
        <w:t> </w:t>
      </w:r>
      <w:r>
        <w:rPr/>
        <w:t>Once</w:t>
      </w:r>
      <w:r>
        <w:rPr>
          <w:spacing w:val="-1"/>
        </w:rPr>
        <w:t> </w:t>
      </w:r>
      <w:r>
        <w:rPr/>
        <w:t>a state is selected, a list of counties will appear on the right. (See step 3)</w:t>
      </w:r>
    </w:p>
    <w:p>
      <w:pPr>
        <w:pStyle w:val="BodyText"/>
        <w:spacing w:before="10"/>
        <w:rPr>
          <w:sz w:val="12"/>
        </w:rPr>
      </w:pPr>
      <w:r>
        <w:rPr/>
        <w:pict>
          <v:group style="position:absolute;margin-left:72.714897pt;margin-top:8.659631pt;width:464.05pt;height:218.65pt;mso-position-horizontal-relative:page;mso-position-vertical-relative:paragraph;z-index:-15720960;mso-wrap-distance-left:0;mso-wrap-distance-right:0" id="docshapegroup24" coordorigin="1454,173" coordsize="9281,4373" alt="Screenshot of HUD's FY 2022 Income Limits Documentation System for State selection ">
            <v:shape style="position:absolute;left:1468;top:190;width:9252;height:4342" type="#_x0000_t75" id="docshape25" alt="Screenshot of HUD's FY 2022 Income Limits Documentation System for State selection " stroked="false">
              <v:imagedata r:id="rId20" o:title=""/>
            </v:shape>
            <v:rect style="position:absolute;left:1461;top:180;width:9267;height:4359" id="docshape26" filled="false" stroked="true" strokeweight=".71pt" strokecolor="#000000">
              <v:stroke dashstyle="solid"/>
            </v:rect>
            <w10:wrap type="topAndBottom"/>
          </v:group>
        </w:pict>
      </w:r>
    </w:p>
    <w:p>
      <w:pPr>
        <w:pStyle w:val="BodyText"/>
        <w:rPr>
          <w:sz w:val="26"/>
        </w:rPr>
      </w:pPr>
    </w:p>
    <w:p>
      <w:pPr>
        <w:pStyle w:val="BodyText"/>
        <w:spacing w:before="8"/>
        <w:rPr>
          <w:sz w:val="31"/>
        </w:rPr>
      </w:pPr>
    </w:p>
    <w:p>
      <w:pPr>
        <w:pStyle w:val="BodyText"/>
        <w:spacing w:line="259" w:lineRule="auto"/>
        <w:ind w:left="120" w:right="1204"/>
      </w:pPr>
      <w:r>
        <w:rPr>
          <w:b/>
          <w:sz w:val="22"/>
          <w:u w:val="single"/>
        </w:rPr>
        <w:t>Step</w:t>
      </w:r>
      <w:r>
        <w:rPr>
          <w:b/>
          <w:spacing w:val="-3"/>
          <w:sz w:val="22"/>
          <w:u w:val="single"/>
        </w:rPr>
        <w:t> </w:t>
      </w:r>
      <w:r>
        <w:rPr>
          <w:b/>
          <w:sz w:val="22"/>
          <w:u w:val="single"/>
        </w:rPr>
        <w:t>3</w:t>
      </w:r>
      <w:r>
        <w:rPr>
          <w:b/>
          <w:sz w:val="22"/>
        </w:rPr>
        <w:t>:</w:t>
      </w:r>
      <w:r>
        <w:rPr>
          <w:b/>
          <w:spacing w:val="40"/>
          <w:sz w:val="22"/>
        </w:rPr>
        <w:t> </w:t>
      </w:r>
      <w:r>
        <w:rPr>
          <w:b/>
          <w:sz w:val="22"/>
        </w:rPr>
        <w:t>Select</w:t>
      </w:r>
      <w:r>
        <w:rPr>
          <w:b/>
          <w:spacing w:val="-1"/>
          <w:sz w:val="22"/>
        </w:rPr>
        <w:t> </w:t>
      </w:r>
      <w:r>
        <w:rPr>
          <w:b/>
          <w:sz w:val="22"/>
        </w:rPr>
        <w:t>a</w:t>
      </w:r>
      <w:r>
        <w:rPr>
          <w:b/>
          <w:spacing w:val="-2"/>
          <w:sz w:val="22"/>
        </w:rPr>
        <w:t> </w:t>
      </w:r>
      <w:r>
        <w:rPr>
          <w:b/>
          <w:sz w:val="22"/>
        </w:rPr>
        <w:t>County</w:t>
      </w:r>
      <w:r>
        <w:rPr/>
        <w:t>–</w:t>
      </w:r>
      <w:r>
        <w:rPr>
          <w:spacing w:val="-5"/>
        </w:rPr>
        <w:t> </w:t>
      </w:r>
      <w:r>
        <w:rPr/>
        <w:t>Scroll</w:t>
      </w:r>
      <w:r>
        <w:rPr>
          <w:spacing w:val="-2"/>
        </w:rPr>
        <w:t> </w:t>
      </w:r>
      <w:r>
        <w:rPr/>
        <w:t>down</w:t>
      </w:r>
      <w:r>
        <w:rPr>
          <w:spacing w:val="-2"/>
        </w:rPr>
        <w:t> </w:t>
      </w:r>
      <w:r>
        <w:rPr/>
        <w:t>the</w:t>
      </w:r>
      <w:r>
        <w:rPr>
          <w:spacing w:val="-3"/>
        </w:rPr>
        <w:t> </w:t>
      </w:r>
      <w:r>
        <w:rPr/>
        <w:t>list</w:t>
      </w:r>
      <w:r>
        <w:rPr>
          <w:spacing w:val="-2"/>
        </w:rPr>
        <w:t> </w:t>
      </w:r>
      <w:r>
        <w:rPr/>
        <w:t>on</w:t>
      </w:r>
      <w:r>
        <w:rPr>
          <w:spacing w:val="-2"/>
        </w:rPr>
        <w:t> </w:t>
      </w:r>
      <w:r>
        <w:rPr/>
        <w:t>the</w:t>
      </w:r>
      <w:r>
        <w:rPr>
          <w:spacing w:val="-4"/>
        </w:rPr>
        <w:t> </w:t>
      </w:r>
      <w:r>
        <w:rPr/>
        <w:t>right</w:t>
      </w:r>
      <w:r>
        <w:rPr>
          <w:spacing w:val="-2"/>
        </w:rPr>
        <w:t> </w:t>
      </w:r>
      <w:r>
        <w:rPr/>
        <w:t>and</w:t>
      </w:r>
      <w:r>
        <w:rPr>
          <w:spacing w:val="-2"/>
        </w:rPr>
        <w:t> </w:t>
      </w:r>
      <w:r>
        <w:rPr/>
        <w:t>select</w:t>
      </w:r>
      <w:r>
        <w:rPr>
          <w:spacing w:val="-2"/>
        </w:rPr>
        <w:t> </w:t>
      </w:r>
      <w:r>
        <w:rPr/>
        <w:t>the</w:t>
      </w:r>
      <w:r>
        <w:rPr>
          <w:spacing w:val="-3"/>
        </w:rPr>
        <w:t> </w:t>
      </w:r>
      <w:r>
        <w:rPr/>
        <w:t>applicable</w:t>
      </w:r>
      <w:r>
        <w:rPr>
          <w:spacing w:val="-3"/>
        </w:rPr>
        <w:t> </w:t>
      </w:r>
      <w:r>
        <w:rPr/>
        <w:t>county.</w:t>
      </w:r>
      <w:r>
        <w:rPr>
          <w:spacing w:val="37"/>
        </w:rPr>
        <w:t> </w:t>
      </w:r>
      <w:r>
        <w:rPr/>
        <w:t>Select the ‘View County Calculations’ button.</w:t>
      </w:r>
    </w:p>
    <w:p>
      <w:pPr>
        <w:pStyle w:val="BodyText"/>
        <w:spacing w:before="8"/>
        <w:rPr>
          <w:sz w:val="12"/>
        </w:rPr>
      </w:pPr>
      <w:r>
        <w:rPr/>
        <w:pict>
          <v:group style="position:absolute;margin-left:72.714897pt;margin-top:8.544415pt;width:522.5pt;height:190.1pt;mso-position-horizontal-relative:page;mso-position-vertical-relative:paragraph;z-index:-15720448;mso-wrap-distance-left:0;mso-wrap-distance-right:0" id="docshapegroup27" coordorigin="1454,171" coordsize="10450,3802">
            <v:shape style="position:absolute;left:1468;top:185;width:9199;height:3773" type="#_x0000_t75" id="docshape28" alt="Screenshot of HUD's FY 2022 Income Limits Documentation System for County selection " stroked="false">
              <v:imagedata r:id="rId21" o:title=""/>
            </v:shape>
            <v:rect style="position:absolute;left:1461;top:177;width:9214;height:3787" id="docshape29" filled="false" stroked="true" strokeweight=".71pt" strokecolor="#000000">
              <v:stroke dashstyle="solid"/>
            </v:rect>
            <v:rect style="position:absolute;left:9621;top:1442;width:2273;height:900" id="docshape30" filled="true" fillcolor="#bebebe" stroked="false">
              <v:fill type="solid"/>
            </v:rect>
            <v:shape style="position:absolute;left:6408;top:1442;width:5487;height:2076" id="docshape31" coordorigin="6408,1443" coordsize="5487,2076" path="m9621,1443l11894,1443,11894,2343,9621,2343,9621,1443xm9631,1613l9242,1613,6408,3519e" filled="false" stroked="true" strokeweight=".96pt" strokecolor="#000000">
              <v:path arrowok="t"/>
              <v:stroke dashstyle="solid"/>
            </v:shape>
            <v:shape style="position:absolute;left:10682;top:1452;width:1203;height:881" type="#_x0000_t202" id="docshape32" filled="true" fillcolor="#bebebe" stroked="false">
              <v:textbox inset="0,0,0,0">
                <w:txbxContent>
                  <w:p>
                    <w:pPr>
                      <w:spacing w:before="80"/>
                      <w:ind w:left="111" w:right="0" w:firstLine="0"/>
                      <w:jc w:val="left"/>
                      <w:rPr>
                        <w:rFonts w:ascii="Calibri"/>
                        <w:color w:val="000000"/>
                        <w:sz w:val="44"/>
                      </w:rPr>
                    </w:pPr>
                    <w:r>
                      <w:rPr>
                        <w:rFonts w:ascii="Calibri"/>
                        <w:color w:val="000000"/>
                        <w:spacing w:val="-4"/>
                        <w:sz w:val="44"/>
                      </w:rPr>
                      <w:t>Here</w:t>
                    </w:r>
                  </w:p>
                </w:txbxContent>
              </v:textbox>
              <v:fill type="solid"/>
              <w10:wrap type="none"/>
            </v:shape>
            <v:shape style="position:absolute;left:9631;top:1452;width:1037;height:881" type="#_x0000_t202" id="docshape33" filled="true" fillcolor="#bebebe" stroked="false">
              <v:textbox inset="0,0,0,0">
                <w:txbxContent>
                  <w:p>
                    <w:pPr>
                      <w:spacing w:before="80"/>
                      <w:ind w:left="242" w:right="-29" w:firstLine="0"/>
                      <w:jc w:val="left"/>
                      <w:rPr>
                        <w:rFonts w:ascii="Calibri"/>
                        <w:color w:val="000000"/>
                        <w:sz w:val="44"/>
                      </w:rPr>
                    </w:pPr>
                    <w:r>
                      <w:rPr>
                        <w:rFonts w:ascii="Calibri"/>
                        <w:color w:val="000000"/>
                        <w:spacing w:val="-2"/>
                        <w:sz w:val="44"/>
                      </w:rPr>
                      <w:t>Click</w:t>
                    </w:r>
                  </w:p>
                </w:txbxContent>
              </v:textbox>
              <v:fill type="solid"/>
              <w10:wrap type="none"/>
            </v:shape>
            <w10:wrap type="topAndBottom"/>
          </v:group>
        </w:pict>
      </w:r>
    </w:p>
    <w:p>
      <w:pPr>
        <w:spacing w:after="0"/>
        <w:rPr>
          <w:sz w:val="12"/>
        </w:rPr>
        <w:sectPr>
          <w:pgSz w:w="12240" w:h="15840"/>
          <w:pgMar w:header="0" w:footer="1033" w:top="1360" w:bottom="1220" w:left="1320" w:right="240"/>
        </w:sectPr>
      </w:pPr>
    </w:p>
    <w:p>
      <w:pPr>
        <w:spacing w:before="61"/>
        <w:ind w:left="120" w:right="0" w:firstLine="0"/>
        <w:jc w:val="left"/>
        <w:rPr>
          <w:sz w:val="22"/>
        </w:rPr>
      </w:pPr>
      <w:r>
        <w:rPr>
          <w:b/>
          <w:sz w:val="22"/>
          <w:u w:val="single"/>
        </w:rPr>
        <w:t>Step</w:t>
      </w:r>
      <w:r>
        <w:rPr>
          <w:b/>
          <w:spacing w:val="-3"/>
          <w:sz w:val="22"/>
          <w:u w:val="single"/>
        </w:rPr>
        <w:t> </w:t>
      </w:r>
      <w:r>
        <w:rPr>
          <w:b/>
          <w:sz w:val="22"/>
          <w:u w:val="single"/>
        </w:rPr>
        <w:t>4</w:t>
      </w:r>
      <w:r>
        <w:rPr>
          <w:b/>
          <w:sz w:val="22"/>
        </w:rPr>
        <w:t>:</w:t>
      </w:r>
      <w:r>
        <w:rPr>
          <w:b/>
          <w:spacing w:val="52"/>
          <w:sz w:val="22"/>
        </w:rPr>
        <w:t> </w:t>
      </w:r>
      <w:r>
        <w:rPr>
          <w:sz w:val="22"/>
        </w:rPr>
        <w:t>View</w:t>
      </w:r>
      <w:r>
        <w:rPr>
          <w:spacing w:val="-5"/>
          <w:sz w:val="22"/>
        </w:rPr>
        <w:t> </w:t>
      </w:r>
      <w:r>
        <w:rPr>
          <w:sz w:val="22"/>
        </w:rPr>
        <w:t>appropriate</w:t>
      </w:r>
      <w:r>
        <w:rPr>
          <w:spacing w:val="-4"/>
          <w:sz w:val="22"/>
        </w:rPr>
        <w:t> </w:t>
      </w:r>
      <w:r>
        <w:rPr>
          <w:sz w:val="22"/>
        </w:rPr>
        <w:t>VLI</w:t>
      </w:r>
      <w:r>
        <w:rPr>
          <w:spacing w:val="-4"/>
          <w:sz w:val="22"/>
        </w:rPr>
        <w:t> </w:t>
      </w:r>
      <w:r>
        <w:rPr>
          <w:sz w:val="22"/>
        </w:rPr>
        <w:t>Limit</w:t>
      </w:r>
      <w:r>
        <w:rPr>
          <w:spacing w:val="-1"/>
          <w:sz w:val="22"/>
        </w:rPr>
        <w:t> </w:t>
      </w:r>
      <w:r>
        <w:rPr>
          <w:sz w:val="22"/>
        </w:rPr>
        <w:t>based</w:t>
      </w:r>
      <w:r>
        <w:rPr>
          <w:spacing w:val="-2"/>
          <w:sz w:val="22"/>
        </w:rPr>
        <w:t> </w:t>
      </w:r>
      <w:r>
        <w:rPr>
          <w:sz w:val="22"/>
        </w:rPr>
        <w:t>on</w:t>
      </w:r>
      <w:r>
        <w:rPr>
          <w:spacing w:val="-4"/>
          <w:sz w:val="22"/>
        </w:rPr>
        <w:t> </w:t>
      </w:r>
      <w:r>
        <w:rPr>
          <w:sz w:val="22"/>
        </w:rPr>
        <w:t>the</w:t>
      </w:r>
      <w:r>
        <w:rPr>
          <w:spacing w:val="-4"/>
          <w:sz w:val="22"/>
        </w:rPr>
        <w:t> </w:t>
      </w:r>
      <w:r>
        <w:rPr>
          <w:sz w:val="22"/>
        </w:rPr>
        <w:t>applicable</w:t>
      </w:r>
      <w:r>
        <w:rPr>
          <w:spacing w:val="-2"/>
          <w:sz w:val="22"/>
        </w:rPr>
        <w:t> </w:t>
      </w:r>
      <w:r>
        <w:rPr>
          <w:sz w:val="22"/>
        </w:rPr>
        <w:t>number</w:t>
      </w:r>
      <w:r>
        <w:rPr>
          <w:spacing w:val="-1"/>
          <w:sz w:val="22"/>
        </w:rPr>
        <w:t> </w:t>
      </w:r>
      <w:r>
        <w:rPr>
          <w:sz w:val="22"/>
        </w:rPr>
        <w:t>of</w:t>
      </w:r>
      <w:r>
        <w:rPr>
          <w:spacing w:val="-4"/>
          <w:sz w:val="22"/>
        </w:rPr>
        <w:t> </w:t>
      </w:r>
      <w:r>
        <w:rPr>
          <w:sz w:val="22"/>
        </w:rPr>
        <w:t>persons</w:t>
      </w:r>
      <w:r>
        <w:rPr>
          <w:spacing w:val="-4"/>
          <w:sz w:val="22"/>
        </w:rPr>
        <w:t> </w:t>
      </w:r>
      <w:r>
        <w:rPr>
          <w:sz w:val="22"/>
        </w:rPr>
        <w:t>in</w:t>
      </w:r>
      <w:r>
        <w:rPr>
          <w:spacing w:val="-2"/>
          <w:sz w:val="22"/>
        </w:rPr>
        <w:t> </w:t>
      </w:r>
      <w:r>
        <w:rPr>
          <w:sz w:val="22"/>
        </w:rPr>
        <w:t>a</w:t>
      </w:r>
      <w:r>
        <w:rPr>
          <w:spacing w:val="-1"/>
          <w:sz w:val="22"/>
        </w:rPr>
        <w:t> </w:t>
      </w:r>
      <w:r>
        <w:rPr>
          <w:spacing w:val="-2"/>
          <w:sz w:val="22"/>
        </w:rPr>
        <w:t>family.</w:t>
      </w:r>
    </w:p>
    <w:p>
      <w:pPr>
        <w:pStyle w:val="BodyText"/>
        <w:spacing w:before="6"/>
        <w:rPr>
          <w:sz w:val="14"/>
        </w:rPr>
      </w:pPr>
      <w:r>
        <w:rPr/>
        <w:pict>
          <v:group style="position:absolute;margin-left:72.714897pt;margin-top:9.626074pt;width:462.15pt;height:247.7pt;mso-position-horizontal-relative:page;mso-position-vertical-relative:paragraph;z-index:-15719936;mso-wrap-distance-left:0;mso-wrap-distance-right:0" id="docshapegroup34" coordorigin="1454,193" coordsize="9243,4954" alt="Screenshot of HUD's FY 2022 Income Limits Documentation System Summary page for Santa Ana-Anaheim-Irvine, CA ">
            <v:shape style="position:absolute;left:1468;top:207;width:9214;height:4925" type="#_x0000_t75" id="docshape35" alt="Screenshot of HUD's FY 2022 Income Limits Documentation System Summary page for Santa Ana-Anaheim-Irvine, CA " stroked="false">
              <v:imagedata r:id="rId22" o:title=""/>
            </v:shape>
            <v:rect style="position:absolute;left:1461;top:199;width:9228;height:4940" id="docshape36" filled="false" stroked="true" strokeweight=".71pt" strokecolor="#000000">
              <v:stroke dashstyle="solid"/>
            </v:rect>
            <v:rect style="position:absolute;left:5791;top:2439;width:4690;height:1272" id="docshape37" filled="false" stroked="true" strokeweight="2.280pt" strokecolor="#000000">
              <v:stroke dashstyle="solid"/>
            </v:rect>
            <v:shape style="position:absolute;left:3331;top:3293;width:1169;height:255" id="docshape38" coordorigin="3331,3293" coordsize="1169,255" path="m3331,3548l3585,3495,3993,3411,4500,3293e" filled="false" stroked="true" strokeweight=".71pt" strokecolor="#000000">
              <v:path arrowok="t"/>
              <v:stroke dashstyle="solid"/>
            </v:shape>
            <v:shape style="position:absolute;left:2601;top:3233;width:687;height:500" type="#_x0000_t202" id="docshape39" filled="false" stroked="true" strokeweight=".71pt" strokecolor="#000000">
              <v:textbox inset="0,0,0,0">
                <w:txbxContent>
                  <w:p>
                    <w:pPr>
                      <w:spacing w:before="76"/>
                      <w:ind w:left="225" w:right="216" w:firstLine="0"/>
                      <w:jc w:val="center"/>
                      <w:rPr>
                        <w:rFonts w:ascii="Calibri"/>
                        <w:b/>
                        <w:sz w:val="16"/>
                      </w:rPr>
                    </w:pPr>
                    <w:r>
                      <w:rPr>
                        <w:rFonts w:ascii="Calibri"/>
                        <w:b/>
                        <w:spacing w:val="-5"/>
                        <w:sz w:val="16"/>
                      </w:rPr>
                      <w:t>VLI</w:t>
                    </w:r>
                  </w:p>
                </w:txbxContent>
              </v:textbox>
              <v:stroke dashstyle="solid"/>
              <w10:wrap type="none"/>
            </v:shape>
            <w10:wrap type="topAndBottom"/>
          </v:group>
        </w:pict>
      </w:r>
    </w:p>
    <w:p>
      <w:pPr>
        <w:pStyle w:val="BodyText"/>
        <w:spacing w:before="10"/>
        <w:rPr>
          <w:sz w:val="8"/>
        </w:rPr>
      </w:pPr>
    </w:p>
    <w:p>
      <w:pPr>
        <w:spacing w:line="259" w:lineRule="auto" w:before="91"/>
        <w:ind w:left="120" w:right="1204" w:firstLine="0"/>
        <w:jc w:val="left"/>
        <w:rPr>
          <w:sz w:val="22"/>
        </w:rPr>
      </w:pPr>
      <w:r>
        <w:rPr>
          <w:b/>
          <w:sz w:val="22"/>
          <w:u w:val="single"/>
        </w:rPr>
        <w:t>Step 5</w:t>
      </w:r>
      <w:r>
        <w:rPr>
          <w:sz w:val="22"/>
        </w:rPr>
        <w:t>:</w:t>
      </w:r>
      <w:r>
        <w:rPr>
          <w:spacing w:val="40"/>
          <w:sz w:val="22"/>
        </w:rPr>
        <w:t> </w:t>
      </w:r>
      <w:r>
        <w:rPr>
          <w:sz w:val="22"/>
        </w:rPr>
        <w:t>Multiply VLI for the family by 2.4. Three examples are provided below. Note that there is an ‘explanation’</w:t>
      </w:r>
      <w:r>
        <w:rPr>
          <w:spacing w:val="-3"/>
          <w:sz w:val="22"/>
        </w:rPr>
        <w:t> </w:t>
      </w:r>
      <w:r>
        <w:rPr>
          <w:sz w:val="22"/>
        </w:rPr>
        <w:t>button</w:t>
      </w:r>
      <w:r>
        <w:rPr>
          <w:spacing w:val="-4"/>
          <w:sz w:val="22"/>
        </w:rPr>
        <w:t> </w:t>
      </w:r>
      <w:r>
        <w:rPr>
          <w:sz w:val="22"/>
        </w:rPr>
        <w:t>for</w:t>
      </w:r>
      <w:r>
        <w:rPr>
          <w:spacing w:val="-4"/>
          <w:sz w:val="22"/>
        </w:rPr>
        <w:t> </w:t>
      </w:r>
      <w:r>
        <w:rPr>
          <w:sz w:val="22"/>
        </w:rPr>
        <w:t>each</w:t>
      </w:r>
      <w:r>
        <w:rPr>
          <w:spacing w:val="-2"/>
          <w:sz w:val="22"/>
        </w:rPr>
        <w:t> </w:t>
      </w:r>
      <w:r>
        <w:rPr>
          <w:sz w:val="22"/>
        </w:rPr>
        <w:t>income</w:t>
      </w:r>
      <w:r>
        <w:rPr>
          <w:spacing w:val="-4"/>
          <w:sz w:val="22"/>
        </w:rPr>
        <w:t> </w:t>
      </w:r>
      <w:r>
        <w:rPr>
          <w:sz w:val="22"/>
        </w:rPr>
        <w:t>limit</w:t>
      </w:r>
      <w:r>
        <w:rPr>
          <w:spacing w:val="-3"/>
          <w:sz w:val="22"/>
        </w:rPr>
        <w:t> </w:t>
      </w:r>
      <w:r>
        <w:rPr>
          <w:sz w:val="22"/>
        </w:rPr>
        <w:t>category</w:t>
      </w:r>
      <w:r>
        <w:rPr>
          <w:spacing w:val="-2"/>
          <w:sz w:val="22"/>
        </w:rPr>
        <w:t> </w:t>
      </w:r>
      <w:r>
        <w:rPr>
          <w:sz w:val="22"/>
        </w:rPr>
        <w:t>that</w:t>
      </w:r>
      <w:r>
        <w:rPr>
          <w:spacing w:val="-1"/>
          <w:sz w:val="22"/>
        </w:rPr>
        <w:t> </w:t>
      </w:r>
      <w:r>
        <w:rPr>
          <w:sz w:val="22"/>
        </w:rPr>
        <w:t>will</w:t>
      </w:r>
      <w:r>
        <w:rPr>
          <w:spacing w:val="-1"/>
          <w:sz w:val="22"/>
        </w:rPr>
        <w:t> </w:t>
      </w:r>
      <w:r>
        <w:rPr>
          <w:sz w:val="22"/>
        </w:rPr>
        <w:t>explain</w:t>
      </w:r>
      <w:r>
        <w:rPr>
          <w:spacing w:val="-2"/>
          <w:sz w:val="22"/>
        </w:rPr>
        <w:t> </w:t>
      </w:r>
      <w:r>
        <w:rPr>
          <w:sz w:val="22"/>
        </w:rPr>
        <w:t>what,</w:t>
      </w:r>
      <w:r>
        <w:rPr>
          <w:spacing w:val="-5"/>
          <w:sz w:val="22"/>
        </w:rPr>
        <w:t> </w:t>
      </w:r>
      <w:r>
        <w:rPr>
          <w:sz w:val="22"/>
        </w:rPr>
        <w:t>if</w:t>
      </w:r>
      <w:r>
        <w:rPr>
          <w:spacing w:val="-4"/>
          <w:sz w:val="22"/>
        </w:rPr>
        <w:t> </w:t>
      </w:r>
      <w:r>
        <w:rPr>
          <w:sz w:val="22"/>
        </w:rPr>
        <w:t>any,</w:t>
      </w:r>
      <w:r>
        <w:rPr>
          <w:spacing w:val="-5"/>
          <w:sz w:val="22"/>
        </w:rPr>
        <w:t> </w:t>
      </w:r>
      <w:r>
        <w:rPr>
          <w:sz w:val="22"/>
        </w:rPr>
        <w:t>adjustments</w:t>
      </w:r>
      <w:r>
        <w:rPr>
          <w:spacing w:val="-2"/>
          <w:sz w:val="22"/>
        </w:rPr>
        <w:t> </w:t>
      </w:r>
      <w:r>
        <w:rPr>
          <w:sz w:val="22"/>
        </w:rPr>
        <w:t>were</w:t>
      </w:r>
      <w:r>
        <w:rPr>
          <w:spacing w:val="-4"/>
          <w:sz w:val="22"/>
        </w:rPr>
        <w:t> </w:t>
      </w:r>
      <w:r>
        <w:rPr>
          <w:sz w:val="22"/>
        </w:rPr>
        <w:t>made.</w:t>
      </w:r>
    </w:p>
    <w:p>
      <w:pPr>
        <w:pStyle w:val="BodyText"/>
        <w:spacing w:before="160"/>
        <w:ind w:left="912" w:right="1991"/>
        <w:jc w:val="center"/>
      </w:pPr>
      <w:r>
        <w:rPr/>
        <w:pict>
          <v:group style="position:absolute;margin-left:72.714897pt;margin-top:23.287928pt;width:468.95pt;height:257.1500pt;mso-position-horizontal-relative:page;mso-position-vertical-relative:paragraph;z-index:-15719424;mso-wrap-distance-left:0;mso-wrap-distance-right:0" id="docshapegroup40" coordorigin="1454,466" coordsize="9379,5143">
            <v:shape style="position:absolute;left:1468;top:482;width:9351;height:4969" type="#_x0000_t75" id="docshape41" alt="Screenshot of HUD's FY 2022 Income Limits Documentation System Summary page for Akron, OH " stroked="false">
              <v:imagedata r:id="rId23" o:title=""/>
            </v:shape>
            <v:rect style="position:absolute;left:1461;top:472;width:9365;height:5129" id="docshape42" filled="false" stroked="true" strokeweight=".71pt" strokecolor="#000000">
              <v:stroke dashstyle="solid"/>
            </v:rect>
            <v:rect style="position:absolute;left:7785;top:3100;width:679;height:941" id="docshape43" filled="false" stroked="true" strokeweight="2.280pt" strokecolor="#000000">
              <v:stroke dashstyle="solid"/>
            </v:rect>
            <w10:wrap type="topAndBottom"/>
          </v:group>
        </w:pict>
      </w:r>
      <w:r>
        <w:rPr>
          <w:b/>
        </w:rPr>
        <w:t>Ex</w:t>
      </w:r>
      <w:r>
        <w:rPr>
          <w:b/>
          <w:spacing w:val="-4"/>
        </w:rPr>
        <w:t> </w:t>
      </w:r>
      <w:r>
        <w:rPr>
          <w:b/>
        </w:rPr>
        <w:t>#1:</w:t>
      </w:r>
      <w:r>
        <w:rPr>
          <w:b/>
          <w:spacing w:val="-5"/>
        </w:rPr>
        <w:t> </w:t>
      </w:r>
      <w:r>
        <w:rPr/>
        <w:t>No</w:t>
      </w:r>
      <w:r>
        <w:rPr>
          <w:spacing w:val="-3"/>
        </w:rPr>
        <w:t> </w:t>
      </w:r>
      <w:r>
        <w:rPr/>
        <w:t>Housing</w:t>
      </w:r>
      <w:r>
        <w:rPr>
          <w:spacing w:val="-4"/>
        </w:rPr>
        <w:t> </w:t>
      </w:r>
      <w:r>
        <w:rPr/>
        <w:t>Cost</w:t>
      </w:r>
      <w:r>
        <w:rPr>
          <w:spacing w:val="-3"/>
        </w:rPr>
        <w:t> </w:t>
      </w:r>
      <w:r>
        <w:rPr/>
        <w:t>Adjustment</w:t>
      </w:r>
      <w:r>
        <w:rPr>
          <w:spacing w:val="-4"/>
        </w:rPr>
        <w:t> </w:t>
      </w:r>
      <w:r>
        <w:rPr/>
        <w:t>(Summit</w:t>
      </w:r>
      <w:r>
        <w:rPr>
          <w:spacing w:val="-5"/>
        </w:rPr>
        <w:t> </w:t>
      </w:r>
      <w:r>
        <w:rPr/>
        <w:t>County,</w:t>
      </w:r>
      <w:r>
        <w:rPr>
          <w:spacing w:val="-4"/>
        </w:rPr>
        <w:t> </w:t>
      </w:r>
      <w:r>
        <w:rPr/>
        <w:t>Akron,</w:t>
      </w:r>
      <w:r>
        <w:rPr>
          <w:spacing w:val="-4"/>
        </w:rPr>
        <w:t> </w:t>
      </w:r>
      <w:r>
        <w:rPr>
          <w:spacing w:val="-5"/>
        </w:rPr>
        <w:t>OH)</w:t>
      </w:r>
    </w:p>
    <w:p>
      <w:pPr>
        <w:pStyle w:val="BodyText"/>
        <w:spacing w:before="220"/>
        <w:ind w:left="910" w:right="1991"/>
        <w:jc w:val="center"/>
      </w:pPr>
      <w:r>
        <w:rPr/>
        <w:t>For</w:t>
      </w:r>
      <w:r>
        <w:rPr>
          <w:spacing w:val="-6"/>
        </w:rPr>
        <w:t> </w:t>
      </w:r>
      <w:r>
        <w:rPr/>
        <w:t>a</w:t>
      </w:r>
      <w:r>
        <w:rPr>
          <w:spacing w:val="-4"/>
        </w:rPr>
        <w:t> </w:t>
      </w:r>
      <w:r>
        <w:rPr/>
        <w:t>family</w:t>
      </w:r>
      <w:r>
        <w:rPr>
          <w:spacing w:val="-4"/>
        </w:rPr>
        <w:t> </w:t>
      </w:r>
      <w:r>
        <w:rPr/>
        <w:t>of</w:t>
      </w:r>
      <w:r>
        <w:rPr>
          <w:spacing w:val="-6"/>
        </w:rPr>
        <w:t> </w:t>
      </w:r>
      <w:r>
        <w:rPr/>
        <w:t>4,</w:t>
      </w:r>
      <w:r>
        <w:rPr>
          <w:spacing w:val="-4"/>
        </w:rPr>
        <w:t> </w:t>
      </w:r>
      <w:r>
        <w:rPr/>
        <w:t>calculate</w:t>
      </w:r>
      <w:r>
        <w:rPr>
          <w:spacing w:val="-7"/>
        </w:rPr>
        <w:t> </w:t>
      </w:r>
      <w:r>
        <w:rPr/>
        <w:t>the</w:t>
      </w:r>
      <w:r>
        <w:rPr>
          <w:spacing w:val="-6"/>
        </w:rPr>
        <w:t> </w:t>
      </w:r>
      <w:r>
        <w:rPr/>
        <w:t>Over-Income</w:t>
      </w:r>
      <w:r>
        <w:rPr>
          <w:spacing w:val="-3"/>
        </w:rPr>
        <w:t> </w:t>
      </w:r>
      <w:r>
        <w:rPr/>
        <w:t>Limit</w:t>
      </w:r>
      <w:r>
        <w:rPr>
          <w:spacing w:val="-4"/>
        </w:rPr>
        <w:t> </w:t>
      </w:r>
      <w:r>
        <w:rPr/>
        <w:t>as</w:t>
      </w:r>
      <w:r>
        <w:rPr>
          <w:spacing w:val="-4"/>
        </w:rPr>
        <w:t> </w:t>
      </w:r>
      <w:r>
        <w:rPr>
          <w:spacing w:val="-2"/>
        </w:rPr>
        <w:t>follows:</w:t>
      </w:r>
    </w:p>
    <w:p>
      <w:pPr>
        <w:pStyle w:val="Heading2"/>
        <w:spacing w:before="182"/>
        <w:ind w:left="912" w:right="1988" w:firstLine="0"/>
        <w:jc w:val="center"/>
      </w:pPr>
      <w:r>
        <w:rPr/>
        <w:t>$41,000 x 2.4 = </w:t>
      </w:r>
      <w:r>
        <w:rPr>
          <w:spacing w:val="-2"/>
        </w:rPr>
        <w:t>$98,400</w:t>
      </w:r>
    </w:p>
    <w:p>
      <w:pPr>
        <w:spacing w:after="0"/>
        <w:jc w:val="center"/>
        <w:sectPr>
          <w:pgSz w:w="12240" w:h="15840"/>
          <w:pgMar w:header="0" w:footer="1033" w:top="1380" w:bottom="1220" w:left="1320" w:right="240"/>
        </w:sectPr>
      </w:pPr>
    </w:p>
    <w:p>
      <w:pPr>
        <w:pStyle w:val="BodyText"/>
        <w:spacing w:before="71"/>
        <w:ind w:left="912" w:right="1991"/>
        <w:jc w:val="center"/>
      </w:pPr>
      <w:r>
        <w:rPr>
          <w:b/>
        </w:rPr>
        <w:t>Ex</w:t>
      </w:r>
      <w:r>
        <w:rPr>
          <w:b/>
          <w:spacing w:val="-3"/>
        </w:rPr>
        <w:t> </w:t>
      </w:r>
      <w:r>
        <w:rPr>
          <w:b/>
        </w:rPr>
        <w:t>#2:</w:t>
      </w:r>
      <w:r>
        <w:rPr>
          <w:b/>
          <w:spacing w:val="53"/>
        </w:rPr>
        <w:t> </w:t>
      </w:r>
      <w:r>
        <w:rPr/>
        <w:t>High</w:t>
      </w:r>
      <w:r>
        <w:rPr>
          <w:spacing w:val="-3"/>
        </w:rPr>
        <w:t> </w:t>
      </w:r>
      <w:r>
        <w:rPr/>
        <w:t>Housing</w:t>
      </w:r>
      <w:r>
        <w:rPr>
          <w:spacing w:val="-2"/>
        </w:rPr>
        <w:t> </w:t>
      </w:r>
      <w:r>
        <w:rPr/>
        <w:t>Cost</w:t>
      </w:r>
      <w:r>
        <w:rPr>
          <w:spacing w:val="-3"/>
        </w:rPr>
        <w:t> </w:t>
      </w:r>
      <w:r>
        <w:rPr/>
        <w:t>Adjustment</w:t>
      </w:r>
      <w:r>
        <w:rPr>
          <w:spacing w:val="-3"/>
        </w:rPr>
        <w:t> </w:t>
      </w:r>
      <w:r>
        <w:rPr/>
        <w:t>(Los</w:t>
      </w:r>
      <w:r>
        <w:rPr>
          <w:spacing w:val="-3"/>
        </w:rPr>
        <w:t> </w:t>
      </w:r>
      <w:r>
        <w:rPr/>
        <w:t>Angeles</w:t>
      </w:r>
      <w:r>
        <w:rPr>
          <w:spacing w:val="-3"/>
        </w:rPr>
        <w:t> </w:t>
      </w:r>
      <w:r>
        <w:rPr/>
        <w:t>County,</w:t>
      </w:r>
      <w:r>
        <w:rPr>
          <w:spacing w:val="-2"/>
        </w:rPr>
        <w:t> </w:t>
      </w:r>
      <w:r>
        <w:rPr/>
        <w:t>Los</w:t>
      </w:r>
      <w:r>
        <w:rPr>
          <w:spacing w:val="-3"/>
        </w:rPr>
        <w:t> </w:t>
      </w:r>
      <w:r>
        <w:rPr/>
        <w:t>Angeles,</w:t>
      </w:r>
      <w:r>
        <w:rPr>
          <w:spacing w:val="-3"/>
        </w:rPr>
        <w:t> </w:t>
      </w:r>
      <w:r>
        <w:rPr>
          <w:spacing w:val="-5"/>
        </w:rPr>
        <w:t>CA)</w:t>
      </w:r>
    </w:p>
    <w:p>
      <w:pPr>
        <w:pStyle w:val="BodyText"/>
        <w:rPr>
          <w:sz w:val="15"/>
        </w:rPr>
      </w:pPr>
      <w:r>
        <w:rPr/>
        <w:pict>
          <v:group style="position:absolute;margin-left:72.714897pt;margin-top:9.906172pt;width:468.95pt;height:253.45pt;mso-position-horizontal-relative:page;mso-position-vertical-relative:paragraph;z-index:-15718912;mso-wrap-distance-left:0;mso-wrap-distance-right:0" id="docshapegroup44" coordorigin="1454,198" coordsize="9379,5069" alt="Screenshot of HUD's FY 2022 Income Limits Documentation System Summary page for Los Angeles-Long-Beach-Glendale, CA ">
            <v:shape style="position:absolute;left:1468;top:212;width:9351;height:5040" type="#_x0000_t75" id="docshape45" alt="Screenshot of HUD's FY 2022 Income Limits Documentation System Summary page for Los Angeles-Long-Beach-Glendale, CA " stroked="false">
              <v:imagedata r:id="rId24" o:title=""/>
            </v:shape>
            <v:rect style="position:absolute;left:1461;top:205;width:9365;height:5055" id="docshape46" filled="false" stroked="true" strokeweight=".71pt" strokecolor="#000000">
              <v:stroke dashstyle="solid"/>
            </v:rect>
            <v:rect style="position:absolute;left:7454;top:2802;width:620;height:953" id="docshape47" filled="false" stroked="true" strokeweight="2.280pt" strokecolor="#000000">
              <v:stroke dashstyle="solid"/>
            </v:rect>
            <w10:wrap type="topAndBottom"/>
          </v:group>
        </w:pict>
      </w:r>
    </w:p>
    <w:p>
      <w:pPr>
        <w:pStyle w:val="BodyText"/>
        <w:spacing w:before="198"/>
        <w:ind w:left="910" w:right="1991"/>
        <w:jc w:val="center"/>
      </w:pPr>
      <w:r>
        <w:rPr/>
        <w:t>For</w:t>
      </w:r>
      <w:r>
        <w:rPr>
          <w:spacing w:val="-6"/>
        </w:rPr>
        <w:t> </w:t>
      </w:r>
      <w:r>
        <w:rPr/>
        <w:t>a</w:t>
      </w:r>
      <w:r>
        <w:rPr>
          <w:spacing w:val="-4"/>
        </w:rPr>
        <w:t> </w:t>
      </w:r>
      <w:r>
        <w:rPr/>
        <w:t>family</w:t>
      </w:r>
      <w:r>
        <w:rPr>
          <w:spacing w:val="-4"/>
        </w:rPr>
        <w:t> </w:t>
      </w:r>
      <w:r>
        <w:rPr/>
        <w:t>of</w:t>
      </w:r>
      <w:r>
        <w:rPr>
          <w:spacing w:val="-6"/>
        </w:rPr>
        <w:t> </w:t>
      </w:r>
      <w:r>
        <w:rPr/>
        <w:t>4,</w:t>
      </w:r>
      <w:r>
        <w:rPr>
          <w:spacing w:val="-4"/>
        </w:rPr>
        <w:t> </w:t>
      </w:r>
      <w:r>
        <w:rPr/>
        <w:t>calculate</w:t>
      </w:r>
      <w:r>
        <w:rPr>
          <w:spacing w:val="-7"/>
        </w:rPr>
        <w:t> </w:t>
      </w:r>
      <w:r>
        <w:rPr/>
        <w:t>the</w:t>
      </w:r>
      <w:r>
        <w:rPr>
          <w:spacing w:val="-6"/>
        </w:rPr>
        <w:t> </w:t>
      </w:r>
      <w:r>
        <w:rPr/>
        <w:t>Over-Income</w:t>
      </w:r>
      <w:r>
        <w:rPr>
          <w:spacing w:val="-3"/>
        </w:rPr>
        <w:t> </w:t>
      </w:r>
      <w:r>
        <w:rPr/>
        <w:t>Limit</w:t>
      </w:r>
      <w:r>
        <w:rPr>
          <w:spacing w:val="-4"/>
        </w:rPr>
        <w:t> </w:t>
      </w:r>
      <w:r>
        <w:rPr/>
        <w:t>as</w:t>
      </w:r>
      <w:r>
        <w:rPr>
          <w:spacing w:val="-4"/>
        </w:rPr>
        <w:t> </w:t>
      </w:r>
      <w:r>
        <w:rPr>
          <w:spacing w:val="-2"/>
        </w:rPr>
        <w:t>follows:</w:t>
      </w:r>
    </w:p>
    <w:p>
      <w:pPr>
        <w:pStyle w:val="Heading2"/>
        <w:spacing w:before="183"/>
        <w:ind w:left="912" w:right="1988" w:firstLine="0"/>
        <w:jc w:val="center"/>
      </w:pPr>
      <w:r>
        <w:rPr/>
        <w:t>$59,550 x 2.4 = </w:t>
      </w:r>
      <w:r>
        <w:rPr>
          <w:spacing w:val="-2"/>
        </w:rPr>
        <w:t>$142,920</w:t>
      </w:r>
    </w:p>
    <w:p>
      <w:pPr>
        <w:pStyle w:val="BodyText"/>
        <w:spacing w:before="180"/>
        <w:ind w:left="912" w:right="1991"/>
        <w:jc w:val="center"/>
      </w:pPr>
      <w:r>
        <w:rPr>
          <w:b/>
        </w:rPr>
        <w:t>Ex</w:t>
      </w:r>
      <w:r>
        <w:rPr>
          <w:b/>
          <w:spacing w:val="-4"/>
        </w:rPr>
        <w:t> </w:t>
      </w:r>
      <w:r>
        <w:rPr>
          <w:b/>
        </w:rPr>
        <w:t>#3:</w:t>
      </w:r>
      <w:r>
        <w:rPr>
          <w:b/>
          <w:spacing w:val="51"/>
        </w:rPr>
        <w:t> </w:t>
      </w:r>
      <w:r>
        <w:rPr/>
        <w:t>Ceiling</w:t>
      </w:r>
      <w:r>
        <w:rPr>
          <w:spacing w:val="-3"/>
        </w:rPr>
        <w:t> </w:t>
      </w:r>
      <w:r>
        <w:rPr/>
        <w:t>Adjustment</w:t>
      </w:r>
      <w:r>
        <w:rPr>
          <w:spacing w:val="-4"/>
        </w:rPr>
        <w:t> </w:t>
      </w:r>
      <w:r>
        <w:rPr/>
        <w:t>(Jackson</w:t>
      </w:r>
      <w:r>
        <w:rPr>
          <w:spacing w:val="-4"/>
        </w:rPr>
        <w:t> </w:t>
      </w:r>
      <w:r>
        <w:rPr/>
        <w:t>County,</w:t>
      </w:r>
      <w:r>
        <w:rPr>
          <w:spacing w:val="-14"/>
        </w:rPr>
        <w:t> </w:t>
      </w:r>
      <w:r>
        <w:rPr/>
        <w:t>Scottsboro,</w:t>
      </w:r>
      <w:r>
        <w:rPr>
          <w:spacing w:val="-4"/>
        </w:rPr>
        <w:t> </w:t>
      </w:r>
      <w:r>
        <w:rPr>
          <w:spacing w:val="-5"/>
        </w:rPr>
        <w:t>AL)</w:t>
      </w:r>
    </w:p>
    <w:p>
      <w:pPr>
        <w:pStyle w:val="BodyText"/>
        <w:spacing w:before="7"/>
        <w:rPr>
          <w:sz w:val="14"/>
        </w:rPr>
      </w:pPr>
      <w:r>
        <w:rPr/>
        <w:pict>
          <v:group style="position:absolute;margin-left:72.714897pt;margin-top:9.653616pt;width:468.75pt;height:229.55pt;mso-position-horizontal-relative:page;mso-position-vertical-relative:paragraph;z-index:-15718400;mso-wrap-distance-left:0;mso-wrap-distance-right:0" id="docshapegroup48" coordorigin="1454,193" coordsize="9375,4591" alt="Screenshot of HUD's FY 2022 Income Limits Documentation System Summary page for Jackson, AL ">
            <v:shape style="position:absolute;left:1468;top:207;width:9346;height:4563" type="#_x0000_t75" id="docshape49" alt="Screenshot of HUD's FY 2022 Income Limits Documentation System Summary page for Jackson, AL " stroked="false">
              <v:imagedata r:id="rId25" o:title=""/>
            </v:shape>
            <v:rect style="position:absolute;left:1461;top:200;width:9360;height:4577" id="docshape50" filled="false" stroked="true" strokeweight=".71pt" strokecolor="#000000">
              <v:stroke dashstyle="solid"/>
            </v:rect>
            <v:rect style="position:absolute;left:7567;top:2583;width:574;height:809" id="docshape51" filled="false" stroked="true" strokeweight="2.280pt" strokecolor="#000000">
              <v:stroke dashstyle="solid"/>
            </v:rect>
            <w10:wrap type="topAndBottom"/>
          </v:group>
        </w:pict>
      </w:r>
    </w:p>
    <w:p>
      <w:pPr>
        <w:pStyle w:val="BodyText"/>
        <w:spacing w:before="201"/>
        <w:ind w:left="910" w:right="1991"/>
        <w:jc w:val="center"/>
      </w:pPr>
      <w:r>
        <w:rPr/>
        <w:t>For</w:t>
      </w:r>
      <w:r>
        <w:rPr>
          <w:spacing w:val="-6"/>
        </w:rPr>
        <w:t> </w:t>
      </w:r>
      <w:r>
        <w:rPr/>
        <w:t>a</w:t>
      </w:r>
      <w:r>
        <w:rPr>
          <w:spacing w:val="-4"/>
        </w:rPr>
        <w:t> </w:t>
      </w:r>
      <w:r>
        <w:rPr/>
        <w:t>family</w:t>
      </w:r>
      <w:r>
        <w:rPr>
          <w:spacing w:val="-4"/>
        </w:rPr>
        <w:t> </w:t>
      </w:r>
      <w:r>
        <w:rPr/>
        <w:t>of</w:t>
      </w:r>
      <w:r>
        <w:rPr>
          <w:spacing w:val="-6"/>
        </w:rPr>
        <w:t> </w:t>
      </w:r>
      <w:r>
        <w:rPr/>
        <w:t>4,</w:t>
      </w:r>
      <w:r>
        <w:rPr>
          <w:spacing w:val="-4"/>
        </w:rPr>
        <w:t> </w:t>
      </w:r>
      <w:r>
        <w:rPr/>
        <w:t>calculate</w:t>
      </w:r>
      <w:r>
        <w:rPr>
          <w:spacing w:val="-7"/>
        </w:rPr>
        <w:t> </w:t>
      </w:r>
      <w:r>
        <w:rPr/>
        <w:t>the</w:t>
      </w:r>
      <w:r>
        <w:rPr>
          <w:spacing w:val="-6"/>
        </w:rPr>
        <w:t> </w:t>
      </w:r>
      <w:r>
        <w:rPr/>
        <w:t>Over-Income</w:t>
      </w:r>
      <w:r>
        <w:rPr>
          <w:spacing w:val="-3"/>
        </w:rPr>
        <w:t> </w:t>
      </w:r>
      <w:r>
        <w:rPr/>
        <w:t>Limit</w:t>
      </w:r>
      <w:r>
        <w:rPr>
          <w:spacing w:val="-4"/>
        </w:rPr>
        <w:t> </w:t>
      </w:r>
      <w:r>
        <w:rPr/>
        <w:t>as</w:t>
      </w:r>
      <w:r>
        <w:rPr>
          <w:spacing w:val="-4"/>
        </w:rPr>
        <w:t> </w:t>
      </w:r>
      <w:r>
        <w:rPr>
          <w:spacing w:val="-2"/>
        </w:rPr>
        <w:t>follows:</w:t>
      </w:r>
    </w:p>
    <w:p>
      <w:pPr>
        <w:spacing w:before="182"/>
        <w:ind w:left="912" w:right="1988" w:firstLine="0"/>
        <w:jc w:val="center"/>
        <w:rPr>
          <w:b/>
          <w:sz w:val="24"/>
        </w:rPr>
      </w:pPr>
      <w:r>
        <w:rPr>
          <w:b/>
          <w:sz w:val="24"/>
        </w:rPr>
        <w:t>$30,800 x 2.4 = </w:t>
      </w:r>
      <w:r>
        <w:rPr>
          <w:b/>
          <w:spacing w:val="-2"/>
          <w:sz w:val="24"/>
        </w:rPr>
        <w:t>$73,920</w:t>
      </w:r>
    </w:p>
    <w:sectPr>
      <w:pgSz w:w="12240" w:h="15840"/>
      <w:pgMar w:header="0" w:footer="1033" w:top="1620" w:bottom="1220" w:left="132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Light">
    <w:altName w:val="Calibri Light"/>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4.029907pt;margin-top:730.28772pt;width:57.05pt;height:13.05pt;mso-position-horizontal-relative:page;mso-position-vertical-relative:page;z-index:-16092672" type="#_x0000_t202" id="docshape1" filled="false" stroked="false">
          <v:textbox inset="0,0,0,0">
            <w:txbxContent>
              <w:p>
                <w:pPr>
                  <w:spacing w:line="245" w:lineRule="exact" w:before="0"/>
                  <w:ind w:left="20" w:right="0" w:firstLine="0"/>
                  <w:jc w:val="left"/>
                  <w:rPr>
                    <w:rFonts w:ascii="Calibri"/>
                    <w:b/>
                    <w:sz w:val="22"/>
                  </w:rPr>
                </w:pPr>
                <w:r>
                  <w:rPr>
                    <w:rFonts w:ascii="Calibri"/>
                    <w:sz w:val="22"/>
                  </w:rPr>
                  <w:t>Page</w:t>
                </w:r>
                <w:r>
                  <w:rPr>
                    <w:rFonts w:ascii="Calibri"/>
                    <w:spacing w:val="-1"/>
                    <w:sz w:val="22"/>
                  </w:rPr>
                  <w:t> </w:t>
                </w:r>
                <w:r>
                  <w:rPr>
                    <w:rFonts w:ascii="Calibri"/>
                    <w:b/>
                    <w:sz w:val="22"/>
                  </w:rPr>
                  <w:t>1</w:t>
                </w:r>
                <w:r>
                  <w:rPr>
                    <w:rFonts w:ascii="Calibri"/>
                    <w:b/>
                    <w:spacing w:val="-1"/>
                    <w:sz w:val="22"/>
                  </w:rPr>
                  <w:t> </w:t>
                </w:r>
                <w:r>
                  <w:rPr>
                    <w:rFonts w:ascii="Calibri"/>
                    <w:sz w:val="22"/>
                  </w:rPr>
                  <w:t>of</w:t>
                </w:r>
                <w:r>
                  <w:rPr>
                    <w:rFonts w:ascii="Calibri"/>
                    <w:spacing w:val="-2"/>
                    <w:sz w:val="22"/>
                  </w:rPr>
                  <w:t> </w:t>
                </w:r>
                <w:r>
                  <w:rPr>
                    <w:rFonts w:ascii="Calibri"/>
                    <w:b/>
                    <w:spacing w:val="-5"/>
                    <w:sz w:val="22"/>
                  </w:rPr>
                  <w:t>24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479919pt;margin-top:729.341003pt;width:12.55pt;height:14.25pt;mso-position-horizontal-relative:page;mso-position-vertical-relative:page;z-index:-16092160" type="#_x0000_t202" id="docshape3" filled="false" stroked="false">
          <v:textbox inset="0,0,0,0">
            <w:txbxContent>
              <w:p>
                <w:pPr>
                  <w:spacing w:before="11"/>
                  <w:ind w:left="60" w:right="0" w:firstLine="0"/>
                  <w:jc w:val="left"/>
                  <w:rPr>
                    <w:sz w:val="22"/>
                  </w:rPr>
                </w:pPr>
                <w:r>
                  <w:rPr>
                    <w:w w:val="100"/>
                    <w:sz w:val="22"/>
                  </w:rPr>
                  <w:fldChar w:fldCharType="begin"/>
                </w:r>
                <w:r>
                  <w:rPr>
                    <w:w w:val="100"/>
                    <w:sz w:val="22"/>
                  </w:rPr>
                  <w:instrText> PAGE </w:instrText>
                </w:r>
                <w:r>
                  <w:rPr>
                    <w:w w:val="100"/>
                    <w:sz w:val="22"/>
                  </w:rPr>
                  <w:fldChar w:fldCharType="separate"/>
                </w:r>
                <w:r>
                  <w:rPr>
                    <w:w w:val="100"/>
                    <w:sz w:val="22"/>
                  </w:rPr>
                  <w:t>2</w:t>
                </w:r>
                <w:r>
                  <w:rPr>
                    <w:w w:val="100"/>
                    <w:sz w:val="22"/>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960022pt;margin-top:729.341003pt;width:18.05pt;height:14.25pt;mso-position-horizontal-relative:page;mso-position-vertical-relative:page;z-index:-16091648" type="#_x0000_t202" id="docshape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960022pt;margin-top:729.341003pt;width:18.05pt;height:14.25pt;mso-position-horizontal-relative:page;mso-position-vertical-relative:page;z-index:-16091136" type="#_x0000_t202" id="docshape1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20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lowerLetter"/>
      <w:lvlText w:val="%2."/>
      <w:lvlJc w:val="left"/>
      <w:pPr>
        <w:ind w:left="1920" w:hanging="360"/>
        <w:jc w:val="left"/>
      </w:pPr>
      <w:rPr>
        <w:rFonts w:hint="default"/>
        <w:spacing w:val="-1"/>
        <w:w w:val="100"/>
        <w:lang w:val="en-US" w:eastAsia="en-US" w:bidi="ar-SA"/>
      </w:rPr>
    </w:lvl>
    <w:lvl w:ilvl="2">
      <w:start w:val="0"/>
      <w:numFmt w:val="bullet"/>
      <w:lvlText w:val="•"/>
      <w:lvlJc w:val="left"/>
      <w:pPr>
        <w:ind w:left="2893" w:hanging="360"/>
      </w:pPr>
      <w:rPr>
        <w:rFonts w:hint="default"/>
        <w:lang w:val="en-US" w:eastAsia="en-US" w:bidi="ar-SA"/>
      </w:rPr>
    </w:lvl>
    <w:lvl w:ilvl="3">
      <w:start w:val="0"/>
      <w:numFmt w:val="bullet"/>
      <w:lvlText w:val="•"/>
      <w:lvlJc w:val="left"/>
      <w:pPr>
        <w:ind w:left="3866" w:hanging="360"/>
      </w:pPr>
      <w:rPr>
        <w:rFonts w:hint="default"/>
        <w:lang w:val="en-US" w:eastAsia="en-US" w:bidi="ar-SA"/>
      </w:rPr>
    </w:lvl>
    <w:lvl w:ilvl="4">
      <w:start w:val="0"/>
      <w:numFmt w:val="bullet"/>
      <w:lvlText w:val="•"/>
      <w:lvlJc w:val="left"/>
      <w:pPr>
        <w:ind w:left="4840" w:hanging="360"/>
      </w:pPr>
      <w:rPr>
        <w:rFonts w:hint="default"/>
        <w:lang w:val="en-US" w:eastAsia="en-US" w:bidi="ar-SA"/>
      </w:rPr>
    </w:lvl>
    <w:lvl w:ilvl="5">
      <w:start w:val="0"/>
      <w:numFmt w:val="bullet"/>
      <w:lvlText w:val="•"/>
      <w:lvlJc w:val="left"/>
      <w:pPr>
        <w:ind w:left="5813" w:hanging="360"/>
      </w:pPr>
      <w:rPr>
        <w:rFonts w:hint="default"/>
        <w:lang w:val="en-US" w:eastAsia="en-US" w:bidi="ar-SA"/>
      </w:rPr>
    </w:lvl>
    <w:lvl w:ilvl="6">
      <w:start w:val="0"/>
      <w:numFmt w:val="bullet"/>
      <w:lvlText w:val="•"/>
      <w:lvlJc w:val="left"/>
      <w:pPr>
        <w:ind w:left="6786" w:hanging="360"/>
      </w:pPr>
      <w:rPr>
        <w:rFonts w:hint="default"/>
        <w:lang w:val="en-US" w:eastAsia="en-US" w:bidi="ar-SA"/>
      </w:rPr>
    </w:lvl>
    <w:lvl w:ilvl="7">
      <w:start w:val="0"/>
      <w:numFmt w:val="bullet"/>
      <w:lvlText w:val="•"/>
      <w:lvlJc w:val="left"/>
      <w:pPr>
        <w:ind w:left="7760" w:hanging="360"/>
      </w:pPr>
      <w:rPr>
        <w:rFonts w:hint="default"/>
        <w:lang w:val="en-US" w:eastAsia="en-US" w:bidi="ar-SA"/>
      </w:rPr>
    </w:lvl>
    <w:lvl w:ilvl="8">
      <w:start w:val="0"/>
      <w:numFmt w:val="bullet"/>
      <w:lvlText w:val="•"/>
      <w:lvlJc w:val="left"/>
      <w:pPr>
        <w:ind w:left="8733" w:hanging="360"/>
      </w:pPr>
      <w:rPr>
        <w:rFonts w:hint="default"/>
        <w:lang w:val="en-US" w:eastAsia="en-US" w:bidi="ar-SA"/>
      </w:rPr>
    </w:lvl>
  </w:abstractNum>
  <w:abstractNum w:abstractNumId="4">
    <w:multiLevelType w:val="hybridMultilevel"/>
    <w:lvl w:ilvl="0">
      <w:start w:val="1"/>
      <w:numFmt w:val="lowerLetter"/>
      <w:lvlText w:val="%1."/>
      <w:lvlJc w:val="left"/>
      <w:pPr>
        <w:ind w:left="19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796" w:hanging="360"/>
      </w:pPr>
      <w:rPr>
        <w:rFonts w:hint="default"/>
        <w:lang w:val="en-US" w:eastAsia="en-US" w:bidi="ar-SA"/>
      </w:rPr>
    </w:lvl>
    <w:lvl w:ilvl="2">
      <w:start w:val="0"/>
      <w:numFmt w:val="bullet"/>
      <w:lvlText w:val="•"/>
      <w:lvlJc w:val="left"/>
      <w:pPr>
        <w:ind w:left="3672" w:hanging="360"/>
      </w:pPr>
      <w:rPr>
        <w:rFonts w:hint="default"/>
        <w:lang w:val="en-US" w:eastAsia="en-US" w:bidi="ar-SA"/>
      </w:rPr>
    </w:lvl>
    <w:lvl w:ilvl="3">
      <w:start w:val="0"/>
      <w:numFmt w:val="bullet"/>
      <w:lvlText w:val="•"/>
      <w:lvlJc w:val="left"/>
      <w:pPr>
        <w:ind w:left="4548" w:hanging="360"/>
      </w:pPr>
      <w:rPr>
        <w:rFonts w:hint="default"/>
        <w:lang w:val="en-US" w:eastAsia="en-US" w:bidi="ar-SA"/>
      </w:rPr>
    </w:lvl>
    <w:lvl w:ilvl="4">
      <w:start w:val="0"/>
      <w:numFmt w:val="bullet"/>
      <w:lvlText w:val="•"/>
      <w:lvlJc w:val="left"/>
      <w:pPr>
        <w:ind w:left="542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176" w:hanging="360"/>
      </w:pPr>
      <w:rPr>
        <w:rFonts w:hint="default"/>
        <w:lang w:val="en-US" w:eastAsia="en-US" w:bidi="ar-SA"/>
      </w:rPr>
    </w:lvl>
    <w:lvl w:ilvl="7">
      <w:start w:val="0"/>
      <w:numFmt w:val="bullet"/>
      <w:lvlText w:val="•"/>
      <w:lvlJc w:val="left"/>
      <w:pPr>
        <w:ind w:left="805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3">
    <w:multiLevelType w:val="hybridMultilevel"/>
    <w:lvl w:ilvl="0">
      <w:start w:val="1"/>
      <w:numFmt w:val="lowerRoman"/>
      <w:lvlText w:val="%1."/>
      <w:lvlJc w:val="left"/>
      <w:pPr>
        <w:ind w:left="120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decimal"/>
      <w:lvlText w:val="(%2)"/>
      <w:lvlJc w:val="left"/>
      <w:pPr>
        <w:ind w:left="1920" w:hanging="360"/>
        <w:jc w:val="left"/>
      </w:pPr>
      <w:rPr>
        <w:rFonts w:hint="default" w:ascii="Times New Roman" w:hAnsi="Times New Roman" w:eastAsia="Times New Roman" w:cs="Times New Roman"/>
        <w:b w:val="0"/>
        <w:bCs w:val="0"/>
        <w:i w:val="0"/>
        <w:iCs w:val="0"/>
        <w:spacing w:val="-1"/>
        <w:w w:val="99"/>
        <w:sz w:val="24"/>
        <w:szCs w:val="24"/>
        <w:lang w:val="en-US" w:eastAsia="en-US" w:bidi="ar-SA"/>
      </w:rPr>
    </w:lvl>
    <w:lvl w:ilvl="2">
      <w:start w:val="0"/>
      <w:numFmt w:val="bullet"/>
      <w:lvlText w:val="•"/>
      <w:lvlJc w:val="left"/>
      <w:pPr>
        <w:ind w:left="2893" w:hanging="360"/>
      </w:pPr>
      <w:rPr>
        <w:rFonts w:hint="default"/>
        <w:lang w:val="en-US" w:eastAsia="en-US" w:bidi="ar-SA"/>
      </w:rPr>
    </w:lvl>
    <w:lvl w:ilvl="3">
      <w:start w:val="0"/>
      <w:numFmt w:val="bullet"/>
      <w:lvlText w:val="•"/>
      <w:lvlJc w:val="left"/>
      <w:pPr>
        <w:ind w:left="3866" w:hanging="360"/>
      </w:pPr>
      <w:rPr>
        <w:rFonts w:hint="default"/>
        <w:lang w:val="en-US" w:eastAsia="en-US" w:bidi="ar-SA"/>
      </w:rPr>
    </w:lvl>
    <w:lvl w:ilvl="4">
      <w:start w:val="0"/>
      <w:numFmt w:val="bullet"/>
      <w:lvlText w:val="•"/>
      <w:lvlJc w:val="left"/>
      <w:pPr>
        <w:ind w:left="4840" w:hanging="360"/>
      </w:pPr>
      <w:rPr>
        <w:rFonts w:hint="default"/>
        <w:lang w:val="en-US" w:eastAsia="en-US" w:bidi="ar-SA"/>
      </w:rPr>
    </w:lvl>
    <w:lvl w:ilvl="5">
      <w:start w:val="0"/>
      <w:numFmt w:val="bullet"/>
      <w:lvlText w:val="•"/>
      <w:lvlJc w:val="left"/>
      <w:pPr>
        <w:ind w:left="5813" w:hanging="360"/>
      </w:pPr>
      <w:rPr>
        <w:rFonts w:hint="default"/>
        <w:lang w:val="en-US" w:eastAsia="en-US" w:bidi="ar-SA"/>
      </w:rPr>
    </w:lvl>
    <w:lvl w:ilvl="6">
      <w:start w:val="0"/>
      <w:numFmt w:val="bullet"/>
      <w:lvlText w:val="•"/>
      <w:lvlJc w:val="left"/>
      <w:pPr>
        <w:ind w:left="6786" w:hanging="360"/>
      </w:pPr>
      <w:rPr>
        <w:rFonts w:hint="default"/>
        <w:lang w:val="en-US" w:eastAsia="en-US" w:bidi="ar-SA"/>
      </w:rPr>
    </w:lvl>
    <w:lvl w:ilvl="7">
      <w:start w:val="0"/>
      <w:numFmt w:val="bullet"/>
      <w:lvlText w:val="•"/>
      <w:lvlJc w:val="left"/>
      <w:pPr>
        <w:ind w:left="7760" w:hanging="360"/>
      </w:pPr>
      <w:rPr>
        <w:rFonts w:hint="default"/>
        <w:lang w:val="en-US" w:eastAsia="en-US" w:bidi="ar-SA"/>
      </w:rPr>
    </w:lvl>
    <w:lvl w:ilvl="8">
      <w:start w:val="0"/>
      <w:numFmt w:val="bullet"/>
      <w:lvlText w:val="•"/>
      <w:lvlJc w:val="left"/>
      <w:pPr>
        <w:ind w:left="8733" w:hanging="360"/>
      </w:pPr>
      <w:rPr>
        <w:rFonts w:hint="default"/>
        <w:lang w:val="en-US" w:eastAsia="en-US" w:bidi="ar-SA"/>
      </w:rPr>
    </w:lvl>
  </w:abstractNum>
  <w:abstractNum w:abstractNumId="2">
    <w:multiLevelType w:val="hybridMultilevel"/>
    <w:lvl w:ilvl="0">
      <w:start w:val="1"/>
      <w:numFmt w:val="lowerRoman"/>
      <w:lvlText w:val="%1."/>
      <w:lvlJc w:val="left"/>
      <w:pPr>
        <w:ind w:left="840" w:hanging="488"/>
        <w:jc w:val="righ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decimal"/>
      <w:lvlText w:val="(%2)"/>
      <w:lvlJc w:val="left"/>
      <w:pPr>
        <w:ind w:left="1560" w:hanging="360"/>
        <w:jc w:val="left"/>
      </w:pPr>
      <w:rPr>
        <w:rFonts w:hint="default" w:ascii="Times New Roman" w:hAnsi="Times New Roman" w:eastAsia="Times New Roman" w:cs="Times New Roman"/>
        <w:b w:val="0"/>
        <w:bCs w:val="0"/>
        <w:i w:val="0"/>
        <w:iCs w:val="0"/>
        <w:spacing w:val="-1"/>
        <w:w w:val="99"/>
        <w:sz w:val="24"/>
        <w:szCs w:val="24"/>
        <w:lang w:val="en-US" w:eastAsia="en-US" w:bidi="ar-SA"/>
      </w:rPr>
    </w:lvl>
    <w:lvl w:ilvl="2">
      <w:start w:val="0"/>
      <w:numFmt w:val="bullet"/>
      <w:lvlText w:val="•"/>
      <w:lvlJc w:val="left"/>
      <w:pPr>
        <w:ind w:left="2573" w:hanging="360"/>
      </w:pPr>
      <w:rPr>
        <w:rFonts w:hint="default"/>
        <w:lang w:val="en-US" w:eastAsia="en-US" w:bidi="ar-SA"/>
      </w:rPr>
    </w:lvl>
    <w:lvl w:ilvl="3">
      <w:start w:val="0"/>
      <w:numFmt w:val="bullet"/>
      <w:lvlText w:val="•"/>
      <w:lvlJc w:val="left"/>
      <w:pPr>
        <w:ind w:left="3586"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613" w:hanging="360"/>
      </w:pPr>
      <w:rPr>
        <w:rFonts w:hint="default"/>
        <w:lang w:val="en-US" w:eastAsia="en-US" w:bidi="ar-SA"/>
      </w:rPr>
    </w:lvl>
    <w:lvl w:ilvl="6">
      <w:start w:val="0"/>
      <w:numFmt w:val="bullet"/>
      <w:lvlText w:val="•"/>
      <w:lvlJc w:val="left"/>
      <w:pPr>
        <w:ind w:left="6626" w:hanging="360"/>
      </w:pPr>
      <w:rPr>
        <w:rFonts w:hint="default"/>
        <w:lang w:val="en-US" w:eastAsia="en-US" w:bidi="ar-SA"/>
      </w:rPr>
    </w:lvl>
    <w:lvl w:ilvl="7">
      <w:start w:val="0"/>
      <w:numFmt w:val="bullet"/>
      <w:lvlText w:val="•"/>
      <w:lvlJc w:val="left"/>
      <w:pPr>
        <w:ind w:left="7640" w:hanging="360"/>
      </w:pPr>
      <w:rPr>
        <w:rFonts w:hint="default"/>
        <w:lang w:val="en-US" w:eastAsia="en-US" w:bidi="ar-SA"/>
      </w:rPr>
    </w:lvl>
    <w:lvl w:ilvl="8">
      <w:start w:val="0"/>
      <w:numFmt w:val="bullet"/>
      <w:lvlText w:val="•"/>
      <w:lvlJc w:val="left"/>
      <w:pPr>
        <w:ind w:left="8653" w:hanging="360"/>
      </w:pPr>
      <w:rPr>
        <w:rFonts w:hint="default"/>
        <w:lang w:val="en-US" w:eastAsia="en-US" w:bidi="ar-SA"/>
      </w:rPr>
    </w:lvl>
  </w:abstractNum>
  <w:abstractNum w:abstractNumId="1">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bCs/>
        <w:i w:val="0"/>
        <w:iCs w:val="0"/>
        <w:w w:val="100"/>
        <w:sz w:val="24"/>
        <w:szCs w:val="24"/>
        <w:lang w:val="en-US" w:eastAsia="en-US" w:bidi="ar-SA"/>
      </w:rPr>
    </w:lvl>
    <w:lvl w:ilvl="1">
      <w:start w:val="1"/>
      <w:numFmt w:val="lowerLetter"/>
      <w:lvlText w:val="%2."/>
      <w:lvlJc w:val="left"/>
      <w:pPr>
        <w:ind w:left="84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560" w:hanging="360"/>
      </w:pPr>
      <w:rPr>
        <w:rFonts w:hint="default" w:ascii="Symbol" w:hAnsi="Symbol" w:eastAsia="Symbol" w:cs="Symbol"/>
        <w:b w:val="0"/>
        <w:bCs w:val="0"/>
        <w:i w:val="0"/>
        <w:iCs w:val="0"/>
        <w:w w:val="100"/>
        <w:sz w:val="24"/>
        <w:szCs w:val="24"/>
        <w:lang w:val="en-US" w:eastAsia="en-US" w:bidi="ar-SA"/>
      </w:rPr>
    </w:lvl>
    <w:lvl w:ilvl="3">
      <w:start w:val="0"/>
      <w:numFmt w:val="bullet"/>
      <w:lvlText w:val="•"/>
      <w:lvlJc w:val="left"/>
      <w:pPr>
        <w:ind w:left="1920" w:hanging="360"/>
      </w:pPr>
      <w:rPr>
        <w:rFonts w:hint="default"/>
        <w:lang w:val="en-US" w:eastAsia="en-US" w:bidi="ar-SA"/>
      </w:rPr>
    </w:lvl>
    <w:lvl w:ilvl="4">
      <w:start w:val="0"/>
      <w:numFmt w:val="bullet"/>
      <w:lvlText w:val="•"/>
      <w:lvlJc w:val="left"/>
      <w:pPr>
        <w:ind w:left="3171" w:hanging="360"/>
      </w:pPr>
      <w:rPr>
        <w:rFonts w:hint="default"/>
        <w:lang w:val="en-US" w:eastAsia="en-US" w:bidi="ar-SA"/>
      </w:rPr>
    </w:lvl>
    <w:lvl w:ilvl="5">
      <w:start w:val="0"/>
      <w:numFmt w:val="bullet"/>
      <w:lvlText w:val="•"/>
      <w:lvlJc w:val="left"/>
      <w:pPr>
        <w:ind w:left="4422" w:hanging="360"/>
      </w:pPr>
      <w:rPr>
        <w:rFonts w:hint="default"/>
        <w:lang w:val="en-US" w:eastAsia="en-US" w:bidi="ar-SA"/>
      </w:rPr>
    </w:lvl>
    <w:lvl w:ilvl="6">
      <w:start w:val="0"/>
      <w:numFmt w:val="bullet"/>
      <w:lvlText w:val="•"/>
      <w:lvlJc w:val="left"/>
      <w:pPr>
        <w:ind w:left="5674" w:hanging="360"/>
      </w:pPr>
      <w:rPr>
        <w:rFonts w:hint="default"/>
        <w:lang w:val="en-US" w:eastAsia="en-US" w:bidi="ar-SA"/>
      </w:rPr>
    </w:lvl>
    <w:lvl w:ilvl="7">
      <w:start w:val="0"/>
      <w:numFmt w:val="bullet"/>
      <w:lvlText w:val="•"/>
      <w:lvlJc w:val="left"/>
      <w:pPr>
        <w:ind w:left="6925" w:hanging="360"/>
      </w:pPr>
      <w:rPr>
        <w:rFonts w:hint="default"/>
        <w:lang w:val="en-US" w:eastAsia="en-US" w:bidi="ar-SA"/>
      </w:rPr>
    </w:lvl>
    <w:lvl w:ilvl="8">
      <w:start w:val="0"/>
      <w:numFmt w:val="bullet"/>
      <w:lvlText w:val="•"/>
      <w:lvlJc w:val="left"/>
      <w:pPr>
        <w:ind w:left="8177" w:hanging="360"/>
      </w:pPr>
      <w:rPr>
        <w:rFonts w:hint="default"/>
        <w:lang w:val="en-US" w:eastAsia="en-US" w:bidi="ar-SA"/>
      </w:rPr>
    </w:lvl>
  </w:abstractNum>
  <w:abstractNum w:abstractNumId="0">
    <w:multiLevelType w:val="hybridMultilevel"/>
    <w:lvl w:ilvl="0">
      <w:start w:val="1"/>
      <w:numFmt w:val="decimal"/>
      <w:lvlText w:val="%1."/>
      <w:lvlJc w:val="left"/>
      <w:pPr>
        <w:ind w:left="559" w:hanging="440"/>
        <w:jc w:val="left"/>
      </w:pPr>
      <w:rPr>
        <w:rFonts w:hint="default" w:ascii="Times New Roman" w:hAnsi="Times New Roman" w:eastAsia="Times New Roman" w:cs="Times New Roman"/>
        <w:b/>
        <w:bCs/>
        <w:i w:val="0"/>
        <w:iCs w:val="0"/>
        <w:w w:val="100"/>
        <w:sz w:val="24"/>
        <w:szCs w:val="24"/>
        <w:lang w:val="en-US" w:eastAsia="en-US" w:bidi="ar-SA"/>
      </w:rPr>
    </w:lvl>
    <w:lvl w:ilvl="1">
      <w:start w:val="1"/>
      <w:numFmt w:val="lowerLetter"/>
      <w:lvlText w:val="%2."/>
      <w:lvlJc w:val="left"/>
      <w:pPr>
        <w:ind w:left="779" w:hanging="4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880" w:hanging="440"/>
      </w:pPr>
      <w:rPr>
        <w:rFonts w:hint="default"/>
        <w:lang w:val="en-US" w:eastAsia="en-US" w:bidi="ar-SA"/>
      </w:rPr>
    </w:lvl>
    <w:lvl w:ilvl="3">
      <w:start w:val="0"/>
      <w:numFmt w:val="bullet"/>
      <w:lvlText w:val="•"/>
      <w:lvlJc w:val="left"/>
      <w:pPr>
        <w:ind w:left="2980" w:hanging="440"/>
      </w:pPr>
      <w:rPr>
        <w:rFonts w:hint="default"/>
        <w:lang w:val="en-US" w:eastAsia="en-US" w:bidi="ar-SA"/>
      </w:rPr>
    </w:lvl>
    <w:lvl w:ilvl="4">
      <w:start w:val="0"/>
      <w:numFmt w:val="bullet"/>
      <w:lvlText w:val="•"/>
      <w:lvlJc w:val="left"/>
      <w:pPr>
        <w:ind w:left="4080" w:hanging="440"/>
      </w:pPr>
      <w:rPr>
        <w:rFonts w:hint="default"/>
        <w:lang w:val="en-US" w:eastAsia="en-US" w:bidi="ar-SA"/>
      </w:rPr>
    </w:lvl>
    <w:lvl w:ilvl="5">
      <w:start w:val="0"/>
      <w:numFmt w:val="bullet"/>
      <w:lvlText w:val="•"/>
      <w:lvlJc w:val="left"/>
      <w:pPr>
        <w:ind w:left="5180" w:hanging="440"/>
      </w:pPr>
      <w:rPr>
        <w:rFonts w:hint="default"/>
        <w:lang w:val="en-US" w:eastAsia="en-US" w:bidi="ar-SA"/>
      </w:rPr>
    </w:lvl>
    <w:lvl w:ilvl="6">
      <w:start w:val="0"/>
      <w:numFmt w:val="bullet"/>
      <w:lvlText w:val="•"/>
      <w:lvlJc w:val="left"/>
      <w:pPr>
        <w:ind w:left="6280" w:hanging="440"/>
      </w:pPr>
      <w:rPr>
        <w:rFonts w:hint="default"/>
        <w:lang w:val="en-US" w:eastAsia="en-US" w:bidi="ar-SA"/>
      </w:rPr>
    </w:lvl>
    <w:lvl w:ilvl="7">
      <w:start w:val="0"/>
      <w:numFmt w:val="bullet"/>
      <w:lvlText w:val="•"/>
      <w:lvlJc w:val="left"/>
      <w:pPr>
        <w:ind w:left="7380" w:hanging="440"/>
      </w:pPr>
      <w:rPr>
        <w:rFonts w:hint="default"/>
        <w:lang w:val="en-US" w:eastAsia="en-US" w:bidi="ar-SA"/>
      </w:rPr>
    </w:lvl>
    <w:lvl w:ilvl="8">
      <w:start w:val="0"/>
      <w:numFmt w:val="bullet"/>
      <w:lvlText w:val="•"/>
      <w:lvlJc w:val="left"/>
      <w:pPr>
        <w:ind w:left="8480" w:hanging="44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41"/>
      <w:ind w:left="559" w:hanging="44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40"/>
      <w:ind w:left="1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22"/>
      <w:ind w:left="779" w:hanging="44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20"/>
      <w:ind w:left="1452"/>
      <w:outlineLvl w:val="1"/>
    </w:pPr>
    <w:rPr>
      <w:rFonts w:ascii="Calibri Light" w:hAnsi="Calibri Light" w:eastAsia="Calibri Light" w:cs="Calibri Light"/>
      <w:sz w:val="32"/>
      <w:szCs w:val="32"/>
      <w:lang w:val="en-US" w:eastAsia="en-US" w:bidi="ar-SA"/>
    </w:rPr>
  </w:style>
  <w:style w:styleId="Heading2" w:type="paragraph">
    <w:name w:val="Heading 2"/>
    <w:basedOn w:val="Normal"/>
    <w:uiPriority w:val="1"/>
    <w:qFormat/>
    <w:pPr>
      <w:spacing w:before="90"/>
      <w:ind w:left="840" w:hanging="36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84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hyperlink" Target="https://www.hud.gov/sites/dfiles/PIH/documents/HOTMA%20Public%20Housing%20Income%20Limit.pdf" TargetMode="External"/><Relationship Id="rId9" Type="http://schemas.openxmlformats.org/officeDocument/2006/relationships/footer" Target="footer3.xml"/><Relationship Id="rId10" Type="http://schemas.openxmlformats.org/officeDocument/2006/relationships/hyperlink" Target="https://www.huduser.gov/portal/datasets/il.html" TargetMode="External"/><Relationship Id="rId11" Type="http://schemas.openxmlformats.org/officeDocument/2006/relationships/hyperlink" Target="https://www.huduser.gov/portal/datasets/il.html#2022_faq" TargetMode="External"/><Relationship Id="rId12" Type="http://schemas.openxmlformats.org/officeDocument/2006/relationships/footer" Target="footer4.xml"/><Relationship Id="rId13" Type="http://schemas.openxmlformats.org/officeDocument/2006/relationships/hyperlink" Target="https://www.hud.gov/public_indian_housing/programs/ph/mod/hotma_ph" TargetMode="External"/><Relationship Id="rId14" Type="http://schemas.openxmlformats.org/officeDocument/2006/relationships/hyperlink" Target="https://www.huduser.gov/portal/datasets/fmr.html" TargetMode="External"/><Relationship Id="rId15" Type="http://schemas.openxmlformats.org/officeDocument/2006/relationships/hyperlink" Target="https://www.hud.gov/sites/dfiles/documents/PBV_FAQs.pdf" TargetMode="External"/><Relationship Id="rId16" Type="http://schemas.openxmlformats.org/officeDocument/2006/relationships/hyperlink" Target="http://portal.hud.gov/hudportal/HUD?src=/program_offices/public_indian_housing/about/focontacts" TargetMode="External"/><Relationship Id="rId17" Type="http://schemas.openxmlformats.org/officeDocument/2006/relationships/image" Target="media/image2.png"/><Relationship Id="rId18" Type="http://schemas.openxmlformats.org/officeDocument/2006/relationships/hyperlink" Target="https://www.hud.gov/program_offices/public_indian_housing/programs/hcv/project" TargetMode="External"/><Relationship Id="rId19" Type="http://schemas.openxmlformats.org/officeDocument/2006/relationships/image" Target="media/image3.jpe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H55678</dc:creator>
  <dc:title>https://hudgov-my.sharepoint.com/personal/tierra_k_smith_hud_gov/Documents/Documents/2023PIH03</dc:title>
  <dcterms:created xsi:type="dcterms:W3CDTF">2023-05-08T18:05:29Z</dcterms:created>
  <dcterms:modified xsi:type="dcterms:W3CDTF">2023-05-08T18:05:29Z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0x0101009021DA34629C9E4FB313965FF4153471</vt:lpwstr>
  </property>
  <property fmtid="{D5CDD505-2E9C-101B-9397-08002B2CF9AE}" pid="3" name="Created">
    <vt:filetime>2023-03-13T00:00:00Z</vt:filetime>
  </property>
  <property fmtid="{D5CDD505-2E9C-101B-9397-08002B2CF9AE}" pid="4" name="Creator">
    <vt:lpwstr>Power PDF Create</vt:lpwstr>
  </property>
  <property fmtid="{D5CDD505-2E9C-101B-9397-08002B2CF9AE}" pid="5" name="LastSaved">
    <vt:filetime>2023-05-08T00:00:00Z</vt:filetime>
  </property>
  <property fmtid="{D5CDD505-2E9C-101B-9397-08002B2CF9AE}" pid="6" name="MediaServiceImageTags">
    <vt:lpwstr/>
  </property>
  <property fmtid="{D5CDD505-2E9C-101B-9397-08002B2CF9AE}" pid="7" name="Producer">
    <vt:lpwstr>Power PDF Create</vt:lpwstr>
  </property>
</Properties>
</file>